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r>
        <w:br/>
      </w:r>
      <w:r>
        <w:br/>
      </w:r>
      <w:r>
        <w:br/>
      </w:r>
      <w:r>
        <w:br/>
      </w:r>
      <w:r>
        <w:br/>
      </w:r>
    </w:p>
    <w:p>
      <w:pPr>
        <w:jc w:val="center"/>
      </w:pPr>
      <w:r>
        <w:rPr>
          <w:b/>
          <w:sz w:val="48"/>
        </w:rPr>
        <w:t>广东省政府采购</w:t>
      </w:r>
    </w:p>
    <w:p/>
    <w:p>
      <w:pPr>
        <w:jc w:val="center"/>
      </w:pPr>
      <w:r>
        <w:rPr>
          <w:b/>
          <w:sz w:val="48"/>
        </w:rPr>
        <w:t>竞 争 性 磋 商 文 件</w:t>
      </w:r>
      <w:r>
        <w:br/>
      </w:r>
      <w:r>
        <w:br/>
      </w:r>
      <w:r>
        <w:br/>
      </w:r>
      <w:r>
        <w:br/>
      </w:r>
      <w:r>
        <w:br/>
      </w:r>
      <w:r>
        <w:br/>
      </w:r>
      <w:r>
        <w:br/>
      </w:r>
      <w:r>
        <w:br/>
      </w:r>
      <w:r>
        <w:br/>
      </w:r>
      <w:r>
        <w:br/>
      </w:r>
      <w:r>
        <w:br/>
      </w:r>
      <w:r>
        <w:br/>
      </w:r>
      <w:r>
        <w:br/>
      </w:r>
      <w:r>
        <w:br/>
      </w:r>
      <w:r>
        <w:br/>
      </w:r>
      <w:r>
        <w:br/>
      </w:r>
      <w:r>
        <w:br/>
      </w:r>
      <w:r>
        <w:br/>
      </w:r>
      <w:r>
        <w:br/>
      </w:r>
      <w:r>
        <w:br/>
      </w:r>
      <w:r>
        <w:br/>
      </w:r>
    </w:p>
    <w:p>
      <w:pPr>
        <w:jc w:val="center"/>
      </w:pPr>
      <w:r>
        <w:rPr>
          <w:b/>
          <w:sz w:val="24"/>
        </w:rPr>
        <w:t>采购计划编号：</w:t>
      </w:r>
      <w:r>
        <w:rPr>
          <w:b/>
          <w:sz w:val="24"/>
        </w:rPr>
        <w:t>445303-2023-00574</w:t>
      </w:r>
    </w:p>
    <w:p>
      <w:pPr>
        <w:jc w:val="center"/>
      </w:pPr>
      <w:r>
        <w:rPr>
          <w:b/>
          <w:sz w:val="24"/>
        </w:rPr>
        <w:t>采购项目编号：</w:t>
      </w:r>
      <w:r>
        <w:rPr>
          <w:b/>
          <w:sz w:val="24"/>
        </w:rPr>
        <w:t>445303-2023-00574</w:t>
      </w:r>
    </w:p>
    <w:p>
      <w:pPr>
        <w:jc w:val="center"/>
      </w:pPr>
      <w:r>
        <w:rPr>
          <w:b/>
          <w:sz w:val="24"/>
        </w:rPr>
        <w:t>项目名称：</w:t>
      </w:r>
      <w:r>
        <w:rPr>
          <w:b/>
          <w:sz w:val="24"/>
        </w:rPr>
        <w:t>云浮市云安区档案馆配套库房（简易库房）建设采购项目</w:t>
      </w:r>
    </w:p>
    <w:p>
      <w:pPr>
        <w:jc w:val="center"/>
      </w:pPr>
      <w:r>
        <w:rPr>
          <w:b/>
          <w:sz w:val="24"/>
        </w:rPr>
        <w:t>采购人：</w:t>
      </w:r>
      <w:r>
        <w:rPr>
          <w:b/>
          <w:sz w:val="24"/>
        </w:rPr>
        <w:t>云浮市云安区档案馆</w:t>
      </w:r>
    </w:p>
    <w:p>
      <w:pPr>
        <w:jc w:val="center"/>
      </w:pPr>
      <w:r>
        <w:rPr>
          <w:b/>
          <w:sz w:val="24"/>
        </w:rPr>
        <w:t>采购代理机构：</w:t>
      </w:r>
      <w:r>
        <w:rPr>
          <w:b/>
          <w:sz w:val="24"/>
        </w:rPr>
        <w:t>云浮市国御招标代理有限公司</w:t>
      </w:r>
    </w:p>
    <w:p>
      <w:pPr>
        <w:ind w:firstLine="480"/>
      </w:pPr>
    </w:p>
    <w:p>
      <w:r>
        <w:rPr/>
        <w:t xml:space="preserve"> </w:t>
      </w:r>
    </w:p>
    <w:p/>
    <w:p>
      <w:pPr>
        <w:jc w:val="center"/>
      </w:pPr>
      <w:r>
        <w:rPr>
          <w:b/>
          <w:sz w:val="36"/>
        </w:rPr>
        <w:t>第一章 磋商邀请</w:t>
      </w:r>
    </w:p>
    <w:p>
      <w:pPr>
        <w:ind w:firstLine="480"/>
      </w:pPr>
      <w:r>
        <w:rPr/>
        <w:t>云浮市国御招标代理有限公司</w:t>
      </w:r>
      <w:r>
        <w:rPr/>
        <w:t>受</w:t>
      </w:r>
      <w:r>
        <w:rPr/>
        <w:t>云浮市云安区档案馆</w:t>
      </w:r>
      <w:r>
        <w:rPr/>
        <w:t>的委托，采用</w:t>
      </w:r>
      <w:r>
        <w:rPr/>
        <w:t>竞争性磋商</w:t>
      </w:r>
      <w:r>
        <w:rPr/>
        <w:t>方式组织采购</w:t>
      </w:r>
      <w:r>
        <w:rPr/>
        <w:t>云浮市云安区档案馆配套库房（简易库房）建设采购项目</w:t>
      </w:r>
      <w:r>
        <w:rPr/>
        <w:t>。欢迎符合资格条件的供应商参加。</w:t>
      </w:r>
    </w:p>
    <w:p>
      <w:r>
        <w:rPr>
          <w:b/>
          <w:sz w:val="28"/>
        </w:rPr>
        <w:t>一.项目概述</w:t>
      </w:r>
    </w:p>
    <w:p>
      <w:r>
        <w:rPr>
          <w:b/>
          <w:sz w:val="24"/>
        </w:rPr>
        <w:t>1.名称与编号</w:t>
      </w:r>
    </w:p>
    <w:p>
      <w:pPr>
        <w:ind w:firstLine="480"/>
      </w:pPr>
      <w:r>
        <w:rPr/>
        <w:t>采购项目名称：</w:t>
      </w:r>
      <w:r>
        <w:rPr/>
        <w:t>云浮市云安区档案馆配套库房（简易库房）建设采购项目</w:t>
      </w:r>
    </w:p>
    <w:p>
      <w:pPr>
        <w:ind w:firstLine="480"/>
      </w:pPr>
      <w:r>
        <w:rPr/>
        <w:t>采购计划编号：</w:t>
      </w:r>
      <w:r>
        <w:rPr/>
        <w:t>445303-2023-00574</w:t>
      </w:r>
    </w:p>
    <w:p>
      <w:pPr>
        <w:ind w:firstLine="480"/>
      </w:pPr>
      <w:r>
        <w:rPr/>
        <w:t>采购项目编号：</w:t>
      </w:r>
      <w:r>
        <w:rPr/>
        <w:t>445303-2023-00574</w:t>
      </w:r>
    </w:p>
    <w:p>
      <w:pPr>
        <w:ind w:firstLine="480"/>
      </w:pPr>
      <w:r>
        <w:rPr/>
        <w:t>采购方式：</w:t>
      </w:r>
      <w:r>
        <w:rPr/>
        <w:t>竞争性磋商</w:t>
      </w:r>
    </w:p>
    <w:p>
      <w:pPr>
        <w:ind w:firstLine="480"/>
      </w:pPr>
      <w:r>
        <w:rPr/>
        <w:t>预算金额：</w:t>
      </w:r>
      <w:r>
        <w:rPr/>
        <w:t>1,677,680.00</w:t>
      </w:r>
      <w:r>
        <w:rPr/>
        <w:t>元</w:t>
      </w:r>
    </w:p>
    <w:p>
      <w:r>
        <w:rPr>
          <w:b/>
          <w:sz w:val="24"/>
        </w:rPr>
        <w:t>2.项目内容及需求情况（采购项目技术规格、参数及要求）</w:t>
      </w:r>
    </w:p>
    <w:p>
      <w:pPr>
        <w:ind w:firstLine="480"/>
      </w:pPr>
    </w:p>
    <w:p/>
    <w:p>
      <w:r>
        <w:rPr/>
        <w:t>采购包1(云浮市云安区档案馆配套库房（简易库房）建设采购项目):</w:t>
      </w:r>
    </w:p>
    <w:p>
      <w:r>
        <w:rPr/>
        <w:t>采购包预算金额：1,677,680.00元</w:t>
      </w:r>
    </w:p>
    <w:tbl>
      <w:tblPr>
        <w:tblW w:w="0" w:type="auto"/>
        <w:tblBorders>
          <w:top w:val="single"/>
          <w:left w:val="single"/>
          <w:bottom w:val="single"/>
          <w:right w:val="single"/>
          <w:insideH w:val="single"/>
          <w:insideV w:val="single"/>
        </w:tblBorders>
      </w:tblPr>
      <w:tblGrid>
        <w:gridCol w:w="977"/>
        <w:gridCol w:w="1368"/>
        <w:gridCol w:w="2052"/>
        <w:gridCol w:w="977"/>
        <w:gridCol w:w="977"/>
        <w:gridCol w:w="977"/>
        <w:gridCol w:w="977"/>
      </w:tblGrid>
      <w:tr>
        <w:tc>
          <w:tcPr>
            <w:tcW w:type="dxa" w:w="977"/>
          </w:tcPr>
          <w:p>
            <w:r>
              <w:rPr/>
              <w:t>品目号</w:t>
            </w:r>
          </w:p>
        </w:tc>
        <w:tc>
          <w:tcPr>
            <w:tcW w:type="dxa" w:w="1368"/>
          </w:tcPr>
          <w:p>
            <w:r>
              <w:rPr/>
              <w:t>品目名称</w:t>
            </w:r>
          </w:p>
        </w:tc>
        <w:tc>
          <w:tcPr>
            <w:tcW w:type="dxa" w:w="2052"/>
          </w:tcPr>
          <w:p>
            <w:r>
              <w:rPr/>
              <w:t>采购标的</w:t>
            </w:r>
          </w:p>
        </w:tc>
        <w:tc>
          <w:tcPr>
            <w:tcW w:type="dxa" w:w="977"/>
          </w:tcPr>
          <w:p>
            <w:r>
              <w:rPr/>
              <w:t>数量（单位）</w:t>
            </w:r>
          </w:p>
        </w:tc>
        <w:tc>
          <w:tcPr>
            <w:tcW w:type="dxa" w:w="977"/>
          </w:tcPr>
          <w:p>
            <w:r>
              <w:rPr/>
              <w:t>技术规格、参数及要求</w:t>
            </w:r>
          </w:p>
        </w:tc>
        <w:tc>
          <w:tcPr>
            <w:tcW w:type="dxa" w:w="977"/>
          </w:tcPr>
          <w:p>
            <w:r>
              <w:rPr/>
              <w:t>品目预算(元)</w:t>
            </w:r>
          </w:p>
        </w:tc>
        <w:tc>
          <w:tcPr>
            <w:tcW w:type="dxa" w:w="977"/>
          </w:tcPr>
          <w:p>
            <w:r>
              <w:rPr/>
              <w:t>是否允许进口产品</w:t>
            </w:r>
          </w:p>
        </w:tc>
      </w:tr>
      <w:tr>
        <w:tc>
          <w:tcPr>
            <w:tcW w:type="dxa" w:w="977"/>
          </w:tcPr>
          <w:p>
            <w:r>
              <w:rPr/>
              <w:t>1-1</w:t>
            </w:r>
          </w:p>
        </w:tc>
        <w:tc>
          <w:tcPr>
            <w:tcW w:type="dxa" w:w="1368"/>
          </w:tcPr>
          <w:p>
            <w:r>
              <w:rPr/>
              <w:t>基础软件开发服务</w:t>
            </w:r>
          </w:p>
        </w:tc>
        <w:tc>
          <w:tcPr>
            <w:tcW w:type="dxa" w:w="2052"/>
          </w:tcPr>
          <w:p>
            <w:r>
              <w:rPr/>
              <w:t>档案综合管理系统开发建设</w:t>
            </w:r>
          </w:p>
        </w:tc>
        <w:tc>
          <w:tcPr>
            <w:tcW w:type="dxa" w:w="977"/>
          </w:tcPr>
          <w:p>
            <w:r>
              <w:rPr/>
              <w:t>1(项)</w:t>
            </w:r>
          </w:p>
        </w:tc>
        <w:tc>
          <w:tcPr>
            <w:tcW w:type="dxa" w:w="977"/>
          </w:tcPr>
          <w:p>
            <w:r>
              <w:rPr/>
              <w:t>详见第二章</w:t>
            </w:r>
          </w:p>
        </w:tc>
        <w:tc>
          <w:tcPr>
            <w:tcW w:type="dxa" w:w="977"/>
          </w:tcPr>
          <w:p>
            <w:r>
              <w:rPr/>
              <w:t>385,000.00</w:t>
            </w:r>
          </w:p>
        </w:tc>
        <w:tc>
          <w:tcPr>
            <w:tcW w:type="dxa" w:w="977"/>
          </w:tcPr>
          <w:p>
            <w:r>
              <w:rPr/>
              <w:t>否</w:t>
            </w:r>
          </w:p>
        </w:tc>
      </w:tr>
      <w:tr>
        <w:tc>
          <w:tcPr>
            <w:tcW w:type="dxa" w:w="977"/>
          </w:tcPr>
          <w:p>
            <w:r>
              <w:rPr/>
              <w:t>1-2</w:t>
            </w:r>
          </w:p>
        </w:tc>
        <w:tc>
          <w:tcPr>
            <w:tcW w:type="dxa" w:w="1368"/>
          </w:tcPr>
          <w:p>
            <w:r>
              <w:rPr/>
              <w:t>其他信息技术服务</w:t>
            </w:r>
          </w:p>
        </w:tc>
        <w:tc>
          <w:tcPr>
            <w:tcW w:type="dxa" w:w="2052"/>
          </w:tcPr>
          <w:p>
            <w:r>
              <w:rPr/>
              <w:t>库房环境系统建设</w:t>
            </w:r>
          </w:p>
        </w:tc>
        <w:tc>
          <w:tcPr>
            <w:tcW w:type="dxa" w:w="977"/>
          </w:tcPr>
          <w:p>
            <w:r>
              <w:rPr/>
              <w:t>1(项)</w:t>
            </w:r>
          </w:p>
        </w:tc>
        <w:tc>
          <w:tcPr>
            <w:tcW w:type="dxa" w:w="977"/>
          </w:tcPr>
          <w:p>
            <w:r>
              <w:rPr/>
              <w:t>详见第二章</w:t>
            </w:r>
          </w:p>
        </w:tc>
        <w:tc>
          <w:tcPr>
            <w:tcW w:type="dxa" w:w="977"/>
          </w:tcPr>
          <w:p>
            <w:r>
              <w:rPr/>
              <w:t>796,500.00</w:t>
            </w:r>
          </w:p>
        </w:tc>
        <w:tc>
          <w:tcPr>
            <w:tcW w:type="dxa" w:w="977"/>
          </w:tcPr>
          <w:p>
            <w:r>
              <w:rPr/>
              <w:t>否</w:t>
            </w:r>
          </w:p>
        </w:tc>
      </w:tr>
      <w:tr>
        <w:tc>
          <w:tcPr>
            <w:tcW w:type="dxa" w:w="977"/>
          </w:tcPr>
          <w:p>
            <w:r>
              <w:rPr/>
              <w:t>1-3</w:t>
            </w:r>
          </w:p>
        </w:tc>
        <w:tc>
          <w:tcPr>
            <w:tcW w:type="dxa" w:w="1368"/>
          </w:tcPr>
          <w:p>
            <w:r>
              <w:rPr/>
              <w:t>其他图书档案设备</w:t>
            </w:r>
          </w:p>
        </w:tc>
        <w:tc>
          <w:tcPr>
            <w:tcW w:type="dxa" w:w="2052"/>
          </w:tcPr>
          <w:p>
            <w:r>
              <w:rPr/>
              <w:t>档案存储系统建设</w:t>
            </w:r>
          </w:p>
        </w:tc>
        <w:tc>
          <w:tcPr>
            <w:tcW w:type="dxa" w:w="977"/>
          </w:tcPr>
          <w:p>
            <w:r>
              <w:rPr/>
              <w:t>1(项)</w:t>
            </w:r>
          </w:p>
        </w:tc>
        <w:tc>
          <w:tcPr>
            <w:tcW w:type="dxa" w:w="977"/>
          </w:tcPr>
          <w:p>
            <w:r>
              <w:rPr/>
              <w:t>详见第二章</w:t>
            </w:r>
          </w:p>
        </w:tc>
        <w:tc>
          <w:tcPr>
            <w:tcW w:type="dxa" w:w="977"/>
          </w:tcPr>
          <w:p>
            <w:r>
              <w:rPr/>
              <w:t>496,180.00</w:t>
            </w:r>
          </w:p>
        </w:tc>
        <w:tc>
          <w:tcPr>
            <w:tcW w:type="dxa" w:w="977"/>
          </w:tcPr>
          <w:p>
            <w:r>
              <w:rPr/>
              <w:t>否</w:t>
            </w:r>
          </w:p>
        </w:tc>
      </w:tr>
    </w:tbl>
    <w:p/>
    <w:p>
      <w:r>
        <w:rPr/>
        <w:t>本采购包不接受联合体响应</w:t>
      </w:r>
    </w:p>
    <w:p/>
    <w:p>
      <w:r>
        <w:rPr/>
        <w:t>合同履行期限：合同约定生效之日起三个月内完成建设。</w:t>
      </w:r>
    </w:p>
    <w:p/>
    <w:p>
      <w:r>
        <w:rPr>
          <w:b/>
          <w:sz w:val="28"/>
        </w:rPr>
        <w:t>二.供应商的资格要求</w:t>
      </w:r>
    </w:p>
    <w:p>
      <w:r>
        <w:rPr>
          <w:b/>
          <w:sz w:val="24"/>
        </w:rPr>
        <w:t>1.供应商应具备《中华人民共和国政府采购法》第二十二条规定的条件，提供下列材料：</w:t>
      </w:r>
    </w:p>
    <w:p>
      <w:pPr>
        <w:ind w:firstLine="480"/>
      </w:pPr>
    </w:p>
    <w:p/>
    <w:p>
      <w:r>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
      <w:r>
        <w:rPr/>
        <w:t>2）有依法缴纳税收和社会保障资金的良好记录：提供《资格承诺函》，格式自拟</w:t>
      </w:r>
    </w:p>
    <w:p/>
    <w:p>
      <w:r>
        <w:rPr/>
        <w:t>3）具有良好的商业信誉和健全的财务会计制度：提供《资格承诺函》，格式自拟</w:t>
      </w:r>
    </w:p>
    <w:p/>
    <w:p>
      <w:r>
        <w:rPr/>
        <w:t>4）履行合同所必需的设备和专业技术能力：提供《资格承诺函》，格式自拟</w:t>
      </w:r>
    </w:p>
    <w:p/>
    <w:p>
      <w:r>
        <w:rPr/>
        <w:t>5）参加采购活动前3年内，在经营活动中没有重大违法记录：参照响应承诺函相关承诺格式内容。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
      <w:r>
        <w:rPr>
          <w:b/>
          <w:sz w:val="24"/>
        </w:rPr>
        <w:t>2.落实政府采购政策需满足的资格要求：</w:t>
      </w:r>
    </w:p>
    <w:p>
      <w:pPr>
        <w:ind w:firstLine="480"/>
      </w:pPr>
    </w:p>
    <w:p>
      <w:pPr>
        <w:jc w:val="left"/>
      </w:pPr>
    </w:p>
    <w:p>
      <w:r>
        <w:rPr/>
        <w:t>采购包1（云浮市云安区档案馆配套库房（简易库房）建设采购项目）：</w:t>
      </w:r>
      <w:r>
        <w:rPr/>
        <w:t>本项目属于专门面向中小企业采购的项目。</w:t>
      </w:r>
    </w:p>
    <w:p/>
    <w:p>
      <w:r>
        <w:rPr>
          <w:b/>
          <w:sz w:val="24"/>
        </w:rPr>
        <w:t>3.本项目特定的资格要求：</w:t>
      </w:r>
    </w:p>
    <w:p>
      <w:pPr>
        <w:ind w:firstLine="480"/>
      </w:pPr>
    </w:p>
    <w:p/>
    <w:p>
      <w:r>
        <w:rPr/>
        <w:t>采购包1（云浮市云安区档案馆配套库房（简易库房）建设采购项目）：</w:t>
      </w:r>
    </w:p>
    <w:p/>
    <w:p>
      <w:r>
        <w:rP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
      <w:r>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响应承诺函相关承诺要求内容。</w:t>
      </w:r>
    </w:p>
    <w:p/>
    <w:p>
      <w:r>
        <w:rPr/>
        <w:t>3)本项目不接受联合体投标</w:t>
      </w:r>
    </w:p>
    <w:p/>
    <w:p>
      <w:r>
        <w:rPr>
          <w:b/>
          <w:sz w:val="28"/>
        </w:rPr>
        <w:t>三.获取磋商文件</w:t>
      </w:r>
    </w:p>
    <w:p>
      <w:pPr>
        <w:ind w:firstLine="480"/>
      </w:pPr>
      <w:r>
        <w:rPr/>
        <w:t>时间：详见磋商公告及其变更公告（如有）</w:t>
      </w:r>
    </w:p>
    <w:p>
      <w:pPr>
        <w:ind w:firstLine="480"/>
      </w:pPr>
      <w:r>
        <w:rPr/>
        <w:t>地点：详见磋商公告及其变更公告（如有）</w:t>
      </w:r>
    </w:p>
    <w:p>
      <w:pPr>
        <w:ind w:firstLine="480"/>
      </w:pPr>
      <w:r>
        <w:rPr/>
        <w:t>获取方式：在线获取。供应商应从广东省政府采购网（https://gdgpo.czt.gd.gov.cn/）上广东政府采购智慧云平台（以下简称“云平台”）的政府采购供应商入口进行免费注册后，登录进入项目采购系统完成项目响应登记并在线获取磋商文件（未按上述方式获取磋商文件的供应商，其响应资格将被视为无效）。</w:t>
      </w:r>
    </w:p>
    <w:p>
      <w:pPr>
        <w:ind w:firstLine="480"/>
      </w:pPr>
      <w:r>
        <w:rPr/>
        <w:t>售价：免费</w:t>
      </w:r>
    </w:p>
    <w:p>
      <w:r>
        <w:rPr>
          <w:b/>
          <w:sz w:val="28"/>
        </w:rPr>
        <w:t>四.提交响应文件截止时间、开启时间和地点：</w:t>
      </w:r>
    </w:p>
    <w:p>
      <w:pPr>
        <w:ind w:firstLine="480"/>
      </w:pPr>
      <w:r>
        <w:rPr/>
        <w:t>提交响应文件截止时间和开启时间：详见磋商公告及其变更公告（如有）（自响应文件开始发出之日起至响应供应商提交响应文件截止之日止，不得少于10个日历日）</w:t>
      </w:r>
    </w:p>
    <w:p>
      <w:pPr>
        <w:ind w:firstLine="480"/>
      </w:pPr>
      <w:r>
        <w:rPr/>
        <w:t>地点：详见磋商公告及其变更公告（如有）</w:t>
      </w:r>
    </w:p>
    <w:p>
      <w:r>
        <w:rPr>
          <w:b/>
          <w:sz w:val="28"/>
        </w:rPr>
        <w:t>五.公告期限、发布公告的媒介：</w:t>
      </w:r>
    </w:p>
    <w:p>
      <w:pPr>
        <w:ind w:firstLine="480"/>
      </w:pPr>
      <w:r>
        <w:rPr/>
        <w:t>1、公告期限：自本公告发布之日起不得少于3个工作日。</w:t>
      </w:r>
    </w:p>
    <w:p>
      <w:pPr>
        <w:ind w:firstLine="480"/>
      </w:pPr>
      <w:r>
        <w:rPr/>
        <w:t>2、发布公告的媒介：中国政府采购网(www.ccgp.gov.cn)，广东省政府采购网(https://gdgpo.czt.gd.gov.cn/)；</w:t>
      </w:r>
      <w:r>
        <w:rPr/>
        <w:t>www.yfgyzb.com</w:t>
      </w:r>
    </w:p>
    <w:p>
      <w:r>
        <w:rPr>
          <w:b/>
          <w:sz w:val="28"/>
        </w:rPr>
        <w:t>六.本项目联系方式：</w:t>
      </w:r>
    </w:p>
    <w:p>
      <w:r>
        <w:rPr>
          <w:b/>
          <w:sz w:val="24"/>
        </w:rPr>
        <w:t>1.采购人信息</w:t>
      </w:r>
    </w:p>
    <w:p>
      <w:pPr>
        <w:ind w:firstLine="480"/>
      </w:pPr>
      <w:r>
        <w:rPr/>
        <w:t>名称：</w:t>
      </w:r>
      <w:r>
        <w:rPr/>
        <w:t>云浮市云安区档案馆</w:t>
      </w:r>
    </w:p>
    <w:p>
      <w:pPr>
        <w:ind w:firstLine="480"/>
      </w:pPr>
      <w:r>
        <w:rPr/>
        <w:t>地址：</w:t>
      </w:r>
      <w:r>
        <w:rPr/>
        <w:t>广东省云浮市云安区白沙塘综合行政区康云路</w:t>
      </w:r>
    </w:p>
    <w:p>
      <w:pPr>
        <w:ind w:firstLine="480"/>
      </w:pPr>
      <w:r>
        <w:rPr/>
        <w:t>联系方式：</w:t>
      </w:r>
      <w:r>
        <w:rPr/>
        <w:t>0766-8638862</w:t>
      </w:r>
    </w:p>
    <w:p>
      <w:r>
        <w:rPr>
          <w:b/>
          <w:sz w:val="24"/>
        </w:rPr>
        <w:t>2.采购代理机构信息</w:t>
      </w:r>
    </w:p>
    <w:p>
      <w:pPr>
        <w:ind w:firstLine="480"/>
      </w:pPr>
      <w:r>
        <w:rPr/>
        <w:t>名称：</w:t>
      </w:r>
      <w:r>
        <w:rPr/>
        <w:t>云浮市国御招标代理有限公司</w:t>
      </w:r>
    </w:p>
    <w:p>
      <w:pPr>
        <w:ind w:firstLine="480"/>
      </w:pPr>
      <w:r>
        <w:rPr/>
        <w:t>地址：</w:t>
      </w:r>
      <w:r>
        <w:rPr/>
        <w:t>广东省云浮市云城区市区金山大道130号三楼</w:t>
      </w:r>
    </w:p>
    <w:p>
      <w:pPr>
        <w:ind w:firstLine="480"/>
      </w:pPr>
      <w:r>
        <w:rPr/>
        <w:t>联系方式：</w:t>
      </w:r>
      <w:r>
        <w:rPr/>
        <w:t>0766-8108331</w:t>
      </w:r>
    </w:p>
    <w:p>
      <w:r>
        <w:rPr>
          <w:b/>
          <w:sz w:val="24"/>
        </w:rPr>
        <w:t>3.项目联系方式</w:t>
      </w:r>
    </w:p>
    <w:p>
      <w:pPr>
        <w:ind w:firstLine="480"/>
      </w:pPr>
      <w:r>
        <w:rPr/>
        <w:t>项目联系人：</w:t>
      </w:r>
      <w:r>
        <w:rPr/>
        <w:t>罗小姐</w:t>
      </w:r>
    </w:p>
    <w:p>
      <w:pPr>
        <w:ind w:firstLine="480"/>
      </w:pPr>
      <w:r>
        <w:rPr/>
        <w:t>电话：</w:t>
      </w:r>
      <w:r>
        <w:rPr/>
        <w:t>0766-8108331</w:t>
      </w:r>
    </w:p>
    <w:p>
      <w:r>
        <w:rPr>
          <w:b/>
          <w:sz w:val="24"/>
        </w:rPr>
        <w:t>4.技术支持联系方式</w:t>
      </w:r>
    </w:p>
    <w:p>
      <w:pPr>
        <w:ind w:firstLine="480"/>
      </w:pPr>
      <w:r>
        <w:rPr/>
        <w:t>云平台联系方式：020-88696588</w:t>
      </w:r>
    </w:p>
    <w:p>
      <w:r>
        <w:rPr/>
        <w:t>采购代理机构：</w:t>
      </w:r>
      <w:r>
        <w:rPr/>
        <w:t>云浮市国御招标代理有限公司</w:t>
      </w:r>
    </w:p>
    <w:p>
      <w:pPr>
        <w:ind w:firstLine="480"/>
      </w:pPr>
    </w:p>
    <w:p>
      <w:r>
        <w:rPr/>
        <w:t xml:space="preserve"> </w:t>
      </w:r>
    </w:p>
    <w:p/>
    <w:p>
      <w:pPr>
        <w:jc w:val="center"/>
      </w:pPr>
      <w:r>
        <w:rPr>
          <w:b/>
          <w:sz w:val="36"/>
        </w:rPr>
        <w:t>第二章 采购需求</w:t>
      </w:r>
    </w:p>
    <w:p>
      <w:r>
        <w:rPr>
          <w:b/>
          <w:sz w:val="28"/>
        </w:rPr>
        <w:t>一、项目概况：</w:t>
      </w:r>
    </w:p>
    <w:p>
      <w:pPr>
        <w:ind w:firstLine="480"/>
      </w:pPr>
    </w:p>
    <w:p/>
    <w:p>
      <w:pPr>
        <w:jc w:val="both"/>
      </w:pPr>
      <w:r>
        <w:rPr>
          <w:sz w:val="21"/>
        </w:rPr>
        <w:t>（一）采购预算</w:t>
      </w:r>
    </w:p>
    <w:p>
      <w:pPr>
        <w:jc w:val="both"/>
      </w:pPr>
      <w:r>
        <w:rPr>
          <w:sz w:val="21"/>
        </w:rPr>
        <w:t>项目预算金额：</w:t>
      </w:r>
      <w:r>
        <w:rPr>
          <w:sz w:val="21"/>
        </w:rPr>
        <w:t>1677680</w:t>
      </w:r>
      <w:r>
        <w:rPr>
          <w:sz w:val="21"/>
        </w:rPr>
        <w:t>.00</w:t>
      </w:r>
      <w:r>
        <w:rPr>
          <w:sz w:val="21"/>
        </w:rPr>
        <w:t>元</w:t>
      </w:r>
    </w:p>
    <w:p>
      <w:pPr>
        <w:jc w:val="both"/>
      </w:pPr>
      <w:r>
        <w:rPr>
          <w:sz w:val="21"/>
        </w:rPr>
        <w:t>（二）采购内容</w:t>
      </w:r>
    </w:p>
    <w:tbl>
      <w:tblPr>
        <w:tblW w:w="0" w:type="auto"/>
        <w:tblBorders>
          <w:top w:val="none" w:color="000000" w:sz="4"/>
          <w:left w:val="none" w:color="000000" w:sz="4"/>
          <w:bottom w:val="none" w:color="000000" w:sz="4"/>
          <w:right w:val="none" w:color="000000" w:sz="4"/>
          <w:insideH w:val="none"/>
          <w:insideV w:val="none"/>
        </w:tblBorders>
      </w:tblPr>
      <w:tblGrid>
        <w:gridCol w:w="1043"/>
        <w:gridCol w:w="2763"/>
        <w:gridCol w:w="1043"/>
        <w:gridCol w:w="1726"/>
        <w:gridCol w:w="1726"/>
      </w:tblGrid>
      <w:tr>
        <w:tc>
          <w:tcPr>
            <w:tcW w:type="dxa" w:w="1043"/>
            <w:tcBorders>
              <w:top w:val="single" w:color="000000" w:sz="4"/>
              <w:left w:val="single" w:color="000000" w:sz="4"/>
              <w:bottom w:val="single" w:color="000000" w:sz="4"/>
              <w:right w:val="single" w:color="000000" w:sz="4"/>
            </w:tcBorders>
            <w:vAlign w:val="top"/>
          </w:tcPr>
          <w:p>
            <w:pPr>
              <w:jc w:val="center"/>
            </w:pPr>
            <w:r>
              <w:rPr>
                <w:sz w:val="21"/>
              </w:rPr>
              <w:t>序号</w:t>
            </w:r>
          </w:p>
        </w:tc>
        <w:tc>
          <w:tcPr>
            <w:tcW w:type="dxa" w:w="2763"/>
            <w:tcBorders>
              <w:top w:val="single" w:color="000000" w:sz="4"/>
              <w:left w:val="none" w:color="000000" w:sz="4"/>
              <w:bottom w:val="single" w:color="000000" w:sz="4"/>
              <w:right w:val="single" w:color="000000" w:sz="4"/>
            </w:tcBorders>
            <w:vAlign w:val="top"/>
          </w:tcPr>
          <w:p>
            <w:pPr>
              <w:jc w:val="center"/>
            </w:pPr>
            <w:r>
              <w:rPr>
                <w:sz w:val="21"/>
              </w:rPr>
              <w:t>标的名称</w:t>
            </w:r>
          </w:p>
        </w:tc>
        <w:tc>
          <w:tcPr>
            <w:tcW w:type="dxa" w:w="1043"/>
            <w:tcBorders>
              <w:top w:val="single" w:color="000000" w:sz="4"/>
              <w:left w:val="none" w:color="000000" w:sz="4"/>
              <w:bottom w:val="single" w:color="000000" w:sz="4"/>
              <w:right w:val="single" w:color="000000" w:sz="4"/>
            </w:tcBorders>
            <w:vAlign w:val="top"/>
          </w:tcPr>
          <w:p>
            <w:pPr>
              <w:jc w:val="center"/>
            </w:pPr>
            <w:r>
              <w:rPr>
                <w:sz w:val="21"/>
              </w:rPr>
              <w:t>数量</w:t>
            </w:r>
          </w:p>
        </w:tc>
        <w:tc>
          <w:tcPr>
            <w:tcW w:type="dxa" w:w="1726"/>
            <w:tcBorders>
              <w:top w:val="single" w:color="000000" w:sz="4"/>
              <w:left w:val="none" w:color="000000" w:sz="4"/>
              <w:bottom w:val="single" w:color="000000" w:sz="4"/>
              <w:right w:val="single" w:color="000000" w:sz="4"/>
            </w:tcBorders>
            <w:vAlign w:val="top"/>
          </w:tcPr>
          <w:p>
            <w:pPr>
              <w:jc w:val="center"/>
            </w:pPr>
            <w:r>
              <w:rPr>
                <w:sz w:val="21"/>
              </w:rPr>
              <w:t>金额（元）</w:t>
            </w:r>
          </w:p>
        </w:tc>
        <w:tc>
          <w:tcPr>
            <w:tcW w:type="dxa" w:w="1726"/>
            <w:tcBorders>
              <w:top w:val="single" w:color="000000" w:sz="4"/>
              <w:left w:val="none" w:color="000000" w:sz="4"/>
              <w:bottom w:val="single" w:color="000000" w:sz="4"/>
              <w:right w:val="single" w:color="000000" w:sz="4"/>
            </w:tcBorders>
            <w:vAlign w:val="top"/>
          </w:tcPr>
          <w:p>
            <w:pPr>
              <w:jc w:val="center"/>
            </w:pPr>
            <w:r>
              <w:rPr>
                <w:sz w:val="21"/>
              </w:rPr>
              <w:t>备注</w:t>
            </w:r>
          </w:p>
        </w:tc>
      </w:tr>
      <w:tr>
        <w:tc>
          <w:tcPr>
            <w:tcW w:type="dxa" w:w="1043"/>
            <w:tcBorders>
              <w:top w:val="none" w:color="000000" w:sz="4"/>
              <w:left w:val="single" w:color="000000" w:sz="4"/>
              <w:bottom w:val="single" w:color="000000" w:sz="4"/>
              <w:right w:val="single" w:color="000000" w:sz="4"/>
            </w:tcBorders>
            <w:vAlign w:val="top"/>
          </w:tcPr>
          <w:p>
            <w:pPr>
              <w:jc w:val="center"/>
            </w:pPr>
            <w:r>
              <w:rPr>
                <w:sz w:val="21"/>
              </w:rPr>
              <w:t>一</w:t>
            </w:r>
          </w:p>
        </w:tc>
        <w:tc>
          <w:tcPr>
            <w:tcW w:type="dxa" w:w="2763"/>
            <w:tcBorders>
              <w:top w:val="none" w:color="000000" w:sz="4"/>
              <w:left w:val="none" w:color="000000" w:sz="4"/>
              <w:bottom w:val="single" w:color="000000" w:sz="4"/>
              <w:right w:val="single" w:color="000000" w:sz="4"/>
            </w:tcBorders>
            <w:vAlign w:val="top"/>
          </w:tcPr>
          <w:p>
            <w:pPr>
              <w:jc w:val="center"/>
            </w:pPr>
            <w:r>
              <w:rPr>
                <w:sz w:val="21"/>
              </w:rPr>
              <w:t>档案综合管理系统开发建设</w:t>
            </w:r>
          </w:p>
        </w:tc>
        <w:tc>
          <w:tcPr>
            <w:tcW w:type="dxa" w:w="1043"/>
            <w:tcBorders>
              <w:top w:val="none" w:color="000000" w:sz="4"/>
              <w:left w:val="none" w:color="000000" w:sz="4"/>
              <w:bottom w:val="single" w:color="000000" w:sz="4"/>
              <w:right w:val="single" w:color="000000" w:sz="4"/>
            </w:tcBorders>
            <w:vAlign w:val="top"/>
          </w:tcPr>
          <w:p>
            <w:pPr>
              <w:jc w:val="center"/>
            </w:pPr>
            <w:r>
              <w:rPr>
                <w:sz w:val="21"/>
              </w:rPr>
              <w:t>1项</w:t>
            </w:r>
          </w:p>
        </w:tc>
        <w:tc>
          <w:tcPr>
            <w:tcW w:type="dxa" w:w="1726"/>
            <w:tcBorders>
              <w:top w:val="none" w:color="000000" w:sz="4"/>
              <w:left w:val="none" w:color="000000" w:sz="4"/>
              <w:bottom w:val="single" w:color="000000" w:sz="4"/>
              <w:right w:val="single" w:color="000000" w:sz="4"/>
            </w:tcBorders>
            <w:vAlign w:val="top"/>
          </w:tcPr>
          <w:p>
            <w:pPr>
              <w:jc w:val="center"/>
            </w:pPr>
            <w:r>
              <w:rPr>
                <w:sz w:val="21"/>
              </w:rPr>
              <w:t>385000.00</w:t>
            </w:r>
          </w:p>
        </w:tc>
        <w:tc>
          <w:tcPr>
            <w:tcW w:type="dxa" w:w="1726"/>
            <w:tcBorders>
              <w:top w:val="none" w:color="000000" w:sz="4"/>
              <w:left w:val="none" w:color="000000" w:sz="4"/>
              <w:bottom w:val="single" w:color="000000" w:sz="4"/>
              <w:right w:val="single" w:color="000000" w:sz="4"/>
            </w:tcBorders>
            <w:vAlign w:val="top"/>
          </w:tcPr>
          <w:p>
            <w:pPr>
              <w:jc w:val="center"/>
            </w:pPr>
            <w:r>
              <w:rPr>
                <w:sz w:val="21"/>
              </w:rPr>
              <w:t>/</w:t>
            </w:r>
          </w:p>
        </w:tc>
      </w:tr>
      <w:tr>
        <w:tc>
          <w:tcPr>
            <w:tcW w:type="dxa" w:w="1043"/>
            <w:tcBorders>
              <w:top w:val="none" w:color="000000" w:sz="4"/>
              <w:left w:val="single" w:color="000000" w:sz="4"/>
              <w:bottom w:val="single" w:color="000000" w:sz="4"/>
              <w:right w:val="single" w:color="000000" w:sz="4"/>
            </w:tcBorders>
            <w:vAlign w:val="top"/>
          </w:tcPr>
          <w:p>
            <w:pPr>
              <w:jc w:val="center"/>
            </w:pPr>
            <w:r>
              <w:rPr>
                <w:sz w:val="21"/>
              </w:rPr>
              <w:t>二</w:t>
            </w:r>
          </w:p>
        </w:tc>
        <w:tc>
          <w:tcPr>
            <w:tcW w:type="dxa" w:w="2763"/>
            <w:tcBorders>
              <w:top w:val="none" w:color="000000" w:sz="4"/>
              <w:left w:val="none" w:color="000000" w:sz="4"/>
              <w:bottom w:val="single" w:color="000000" w:sz="4"/>
              <w:right w:val="single" w:color="000000" w:sz="4"/>
            </w:tcBorders>
            <w:vAlign w:val="top"/>
          </w:tcPr>
          <w:p>
            <w:pPr>
              <w:jc w:val="center"/>
            </w:pPr>
            <w:r>
              <w:rPr>
                <w:sz w:val="21"/>
              </w:rPr>
              <w:t>库房环境系统建设</w:t>
            </w:r>
          </w:p>
        </w:tc>
        <w:tc>
          <w:tcPr>
            <w:tcW w:type="dxa" w:w="1043"/>
            <w:tcBorders>
              <w:top w:val="none" w:color="000000" w:sz="4"/>
              <w:left w:val="none" w:color="000000" w:sz="4"/>
              <w:bottom w:val="single" w:color="000000" w:sz="4"/>
              <w:right w:val="single" w:color="000000" w:sz="4"/>
            </w:tcBorders>
            <w:vAlign w:val="top"/>
          </w:tcPr>
          <w:p>
            <w:pPr>
              <w:jc w:val="center"/>
            </w:pPr>
            <w:r>
              <w:rPr>
                <w:sz w:val="21"/>
              </w:rPr>
              <w:t>1项</w:t>
            </w:r>
          </w:p>
        </w:tc>
        <w:tc>
          <w:tcPr>
            <w:tcW w:type="dxa" w:w="1726"/>
            <w:tcBorders>
              <w:top w:val="none" w:color="000000" w:sz="4"/>
              <w:left w:val="none" w:color="000000" w:sz="4"/>
              <w:bottom w:val="single" w:color="000000" w:sz="4"/>
              <w:right w:val="single" w:color="000000" w:sz="4"/>
            </w:tcBorders>
            <w:vAlign w:val="top"/>
          </w:tcPr>
          <w:p>
            <w:pPr>
              <w:jc w:val="center"/>
            </w:pPr>
            <w:r>
              <w:rPr>
                <w:sz w:val="21"/>
              </w:rPr>
              <w:t>796500.00</w:t>
            </w:r>
          </w:p>
        </w:tc>
        <w:tc>
          <w:tcPr>
            <w:tcW w:type="dxa" w:w="1726"/>
            <w:tcBorders>
              <w:top w:val="none" w:color="000000" w:sz="4"/>
              <w:left w:val="none" w:color="000000" w:sz="4"/>
              <w:bottom w:val="single" w:color="000000" w:sz="4"/>
              <w:right w:val="single" w:color="000000" w:sz="4"/>
            </w:tcBorders>
            <w:vAlign w:val="top"/>
          </w:tcPr>
          <w:p>
            <w:pPr>
              <w:jc w:val="center"/>
            </w:pPr>
            <w:r>
              <w:rPr>
                <w:sz w:val="21"/>
              </w:rPr>
              <w:t>/</w:t>
            </w:r>
          </w:p>
        </w:tc>
      </w:tr>
      <w:tr>
        <w:tc>
          <w:tcPr>
            <w:tcW w:type="dxa" w:w="1043"/>
            <w:tcBorders>
              <w:top w:val="none" w:color="000000" w:sz="4"/>
              <w:left w:val="single" w:color="000000" w:sz="4"/>
              <w:bottom w:val="single" w:color="000000" w:sz="4"/>
              <w:right w:val="single" w:color="000000" w:sz="4"/>
            </w:tcBorders>
            <w:vAlign w:val="top"/>
          </w:tcPr>
          <w:p>
            <w:pPr>
              <w:jc w:val="center"/>
            </w:pPr>
            <w:r>
              <w:rPr>
                <w:sz w:val="21"/>
              </w:rPr>
              <w:t>三</w:t>
            </w:r>
          </w:p>
        </w:tc>
        <w:tc>
          <w:tcPr>
            <w:tcW w:type="dxa" w:w="2763"/>
            <w:tcBorders>
              <w:top w:val="none" w:color="000000" w:sz="4"/>
              <w:left w:val="none" w:color="000000" w:sz="4"/>
              <w:bottom w:val="single" w:color="000000" w:sz="4"/>
              <w:right w:val="single" w:color="000000" w:sz="4"/>
            </w:tcBorders>
            <w:vAlign w:val="top"/>
          </w:tcPr>
          <w:p>
            <w:pPr>
              <w:jc w:val="center"/>
            </w:pPr>
            <w:r>
              <w:rPr>
                <w:sz w:val="21"/>
              </w:rPr>
              <w:t>档案存储系统建设</w:t>
            </w:r>
          </w:p>
        </w:tc>
        <w:tc>
          <w:tcPr>
            <w:tcW w:type="dxa" w:w="1043"/>
            <w:tcBorders>
              <w:top w:val="none" w:color="000000" w:sz="4"/>
              <w:left w:val="none" w:color="000000" w:sz="4"/>
              <w:bottom w:val="single" w:color="000000" w:sz="4"/>
              <w:right w:val="single" w:color="000000" w:sz="4"/>
            </w:tcBorders>
            <w:vAlign w:val="top"/>
          </w:tcPr>
          <w:p>
            <w:pPr>
              <w:jc w:val="center"/>
            </w:pPr>
            <w:r>
              <w:rPr>
                <w:sz w:val="21"/>
              </w:rPr>
              <w:t>1项</w:t>
            </w:r>
          </w:p>
        </w:tc>
        <w:tc>
          <w:tcPr>
            <w:tcW w:type="dxa" w:w="1726"/>
            <w:tcBorders>
              <w:top w:val="none" w:color="000000" w:sz="4"/>
              <w:left w:val="none" w:color="000000" w:sz="4"/>
              <w:bottom w:val="single" w:color="000000" w:sz="4"/>
              <w:right w:val="single" w:color="000000" w:sz="4"/>
            </w:tcBorders>
            <w:vAlign w:val="top"/>
          </w:tcPr>
          <w:p>
            <w:pPr>
              <w:jc w:val="center"/>
            </w:pPr>
            <w:r>
              <w:rPr>
                <w:sz w:val="21"/>
              </w:rPr>
              <w:t>496180.00</w:t>
            </w:r>
          </w:p>
        </w:tc>
        <w:tc>
          <w:tcPr>
            <w:tcW w:type="dxa" w:w="1726"/>
            <w:tcBorders>
              <w:top w:val="none" w:color="000000" w:sz="4"/>
              <w:left w:val="none" w:color="000000" w:sz="4"/>
              <w:bottom w:val="single" w:color="000000" w:sz="4"/>
              <w:right w:val="single" w:color="000000" w:sz="4"/>
            </w:tcBorders>
            <w:vAlign w:val="top"/>
          </w:tcPr>
          <w:p>
            <w:pPr>
              <w:jc w:val="center"/>
            </w:pPr>
            <w:r>
              <w:rPr>
                <w:sz w:val="21"/>
              </w:rPr>
              <w:t>/</w:t>
            </w:r>
          </w:p>
        </w:tc>
      </w:tr>
    </w:tbl>
    <w:p/>
    <w:p>
      <w:pPr>
        <w:ind w:firstLine="480"/>
      </w:pPr>
    </w:p>
    <w:p/>
    <w:p>
      <w:r>
        <w:rPr/>
        <w:t>采购包1（云浮市云安区档案馆配套库房（简易库房）建设采购项目）</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r>
              <w:rPr/>
              <w:t>标的提供的时间</w:t>
            </w:r>
          </w:p>
        </w:tc>
        <w:tc>
          <w:tcPr>
            <w:tcW w:type="dxa" w:w="4153"/>
          </w:tcPr>
          <w:p/>
          <w:p>
            <w:r>
              <w:rPr/>
              <w:t>合同约定生效之日起三个月内完成建设。</w:t>
            </w:r>
          </w:p>
        </w:tc>
      </w:tr>
      <w:tr>
        <w:tc>
          <w:tcPr>
            <w:tcW w:type="dxa" w:w="4153"/>
          </w:tcPr>
          <w:p>
            <w:r>
              <w:rPr/>
              <w:t>标的提供的地点</w:t>
            </w:r>
          </w:p>
        </w:tc>
        <w:tc>
          <w:tcPr>
            <w:tcW w:type="dxa" w:w="4153"/>
          </w:tcPr>
          <w:p/>
          <w:p>
            <w:r>
              <w:rPr/>
              <w:t>云浮市云安区。</w:t>
            </w:r>
          </w:p>
        </w:tc>
      </w:tr>
      <w:tr>
        <w:tc>
          <w:tcPr>
            <w:tcW w:type="dxa" w:w="4153"/>
          </w:tcPr>
          <w:p>
            <w:r>
              <w:rPr/>
              <w:t>付款方式</w:t>
            </w:r>
          </w:p>
        </w:tc>
        <w:tc>
          <w:tcPr>
            <w:tcW w:type="dxa" w:w="4153"/>
          </w:tcPr>
          <w:p/>
          <w:p/>
          <w:p>
            <w:r>
              <w:rPr/>
              <w:t>1期：支付比例40%,在完成合同签订后15个工作日内，采购人支付合同金额的40%</w:t>
            </w:r>
          </w:p>
          <w:p/>
          <w:p>
            <w:r>
              <w:rPr/>
              <w:t>2期：支付比例40%,成交供应商完成工程量的90%，采购人再向成交供应商支付至合同金额的80%</w:t>
            </w:r>
          </w:p>
          <w:p/>
          <w:p>
            <w:r>
              <w:rPr/>
              <w:t>3期：支付比例20%,验收合格后15个工作日内，采购人收到成交供应商提供的发票后15日内支付余额</w:t>
            </w:r>
          </w:p>
        </w:tc>
      </w:tr>
      <w:tr>
        <w:tc>
          <w:tcPr>
            <w:tcW w:type="dxa" w:w="4153"/>
          </w:tcPr>
          <w:p>
            <w:r>
              <w:rPr/>
              <w:t>验收要求</w:t>
            </w:r>
          </w:p>
        </w:tc>
        <w:tc>
          <w:tcPr>
            <w:tcW w:type="dxa" w:w="4153"/>
          </w:tcPr>
          <w:p/>
          <w:p/>
          <w:p/>
          <w:p>
            <w:r>
              <w:rPr/>
              <w:t>1期：1.成交供应商必须依照招标文件的要求和投标文件的承诺，将设备、系统安装并调试至正常运行的最佳状态。 2.货物若有国家标准按照国家标准验收，若无国家标准按行业标准验收，为原制造商制造的全新产品，整机无污染，无侵权行为、表面无划损、无任何缺陷隐患，在中国境内可依常规安全合法使用。  3.货物为原厂商未启封全新包装，具出厂合格证，序列号、包装箱号与出厂批号一致，并可追索查阅。所有随设备的附件必须齐全。 4.成交供应商应将关键主机设备的用户手册、保修手册、有关单证资料及配备件、随机工具等交付给采购人，使用操作及安全须知等重要资料应附有中文说明。 5.本次项目由采购人委托采购代理机构组织邀请相关的专业人员组成验收小组按国家有关规定、规范进行验收。验收费用由成交供应商支付，支付金额为 1万元（内含专业人员会议费、交通费、食宿费等），支付时间为收取《中标通知书》时。若第一次验收失败，采购代理机构要无偿进行第二次验收,直至验收合格为止。 6.交付验收标准依次序对照适用标准为： ①符合中华人民共和国国家安全质量标准、环保标准或行业标准； ②符合采购文件和响应承诺中采购人认可的合理最佳配置、参数及各项要求； ③货物来源中国官方标准。</w:t>
            </w:r>
          </w:p>
        </w:tc>
      </w:tr>
      <w:tr>
        <w:tc>
          <w:tcPr>
            <w:tcW w:type="dxa" w:w="4153"/>
          </w:tcPr>
          <w:p>
            <w:r>
              <w:rPr/>
              <w:t>履约保证金</w:t>
            </w:r>
          </w:p>
        </w:tc>
        <w:tc>
          <w:tcPr>
            <w:tcW w:type="dxa" w:w="4153"/>
          </w:tcPr>
          <w:p/>
          <w:p/>
          <w:p>
            <w:r>
              <w:rPr/>
              <w:t>不收取</w:t>
            </w:r>
          </w:p>
        </w:tc>
      </w:tr>
      <w:tr>
        <w:tc>
          <w:tcPr>
            <w:tcW w:type="dxa" w:w="4153"/>
          </w:tcPr>
          <w:p>
            <w:r>
              <w:rPr/>
              <w:t>其他</w:t>
            </w:r>
          </w:p>
        </w:tc>
        <w:tc>
          <w:tcPr>
            <w:tcW w:type="dxa" w:w="4153"/>
          </w:tcPr>
          <w:p/>
        </w:tc>
      </w:tr>
    </w:tbl>
    <w:p/>
    <w:p>
      <w:r>
        <w:rPr/>
        <w:t>其他商务需求</w:t>
      </w:r>
    </w:p>
    <w:p/>
    <w:p/>
    <w:p/>
    <w:p/>
    <w:p/>
    <w:p/>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jc w:val="center"/>
            </w:pPr>
            <w:r>
              <w:rPr/>
              <w:t>参数性质</w:t>
            </w:r>
          </w:p>
        </w:tc>
        <w:tc>
          <w:tcPr>
            <w:tcW w:type="dxa" w:w="2076"/>
          </w:tcPr>
          <w:p>
            <w:pPr>
              <w:jc w:val="center"/>
            </w:pPr>
            <w:r>
              <w:rPr/>
              <w:t>编号</w:t>
            </w:r>
          </w:p>
        </w:tc>
        <w:tc>
          <w:tcPr>
            <w:tcW w:type="dxa" w:w="2076"/>
          </w:tcPr>
          <w:p>
            <w:pPr>
              <w:jc w:val="center"/>
            </w:pPr>
            <w:r>
              <w:rPr/>
              <w:t>内容明细</w:t>
            </w:r>
          </w:p>
        </w:tc>
        <w:tc>
          <w:tcPr>
            <w:tcW w:type="dxa" w:w="2076"/>
          </w:tcPr>
          <w:p>
            <w:pPr>
              <w:jc w:val="center"/>
            </w:pPr>
            <w:r>
              <w:rPr/>
              <w:t>内容说明</w:t>
            </w:r>
          </w:p>
        </w:tc>
      </w:tr>
      <w:tr>
        <w:tc>
          <w:tcPr>
            <w:tcW w:type="dxa" w:w="2076"/>
          </w:tcPr>
          <w:p>
            <w:pPr>
              <w:jc w:val="center"/>
            </w:pPr>
          </w:p>
        </w:tc>
        <w:tc>
          <w:tcPr>
            <w:tcW w:type="dxa" w:w="2076"/>
          </w:tcPr>
          <w:p>
            <w:pPr>
              <w:jc w:val="center"/>
            </w:pPr>
            <w:r>
              <w:rPr/>
              <w:t>1</w:t>
            </w:r>
          </w:p>
        </w:tc>
        <w:tc>
          <w:tcPr>
            <w:tcW w:type="dxa" w:w="2076"/>
          </w:tcPr>
          <w:p>
            <w:pPr>
              <w:jc w:val="left"/>
            </w:pPr>
            <w:r>
              <w:rPr/>
              <w:t>包装、保险及发运、保管要求</w:t>
            </w:r>
          </w:p>
        </w:tc>
        <w:tc>
          <w:tcPr>
            <w:tcW w:type="dxa" w:w="2076"/>
          </w:tcPr>
          <w:p>
            <w:pPr>
              <w:jc w:val="left"/>
            </w:pPr>
            <w:r>
              <w:rPr/>
              <w:t>①货物为原厂商未启封全新包装，具出厂合格证，序列号、包装箱号与出厂批号一致，并可追索查阅。设备材料的包装必须是制造商原厂包装，其包装均应有良好的防湿、防锈、防潮、防雨、防腐及防碰撞的措施。凡由于包装不良造成的损失和由此产生的费用均由投标人承担。 ②成交供应商负责将设备材料货到现场过程中的全部运输，包括装卸车、货物现场的搬运。 ③各种设备必须提供装箱清单，按装箱清单验收货物。 ④货物在现场的保管由成交供应商负责，直至项目安装、验收完毕。 ⑤货物在系统安装调试验收合格前的保险由成交供应商负责，成交供应商负责其派出的现场服务人员人身意外保险。 ⑥设备至采购人指定的使用现场的包装、保险及发运等环节和费用均由成交供应商负责。</w:t>
            </w:r>
          </w:p>
        </w:tc>
      </w:tr>
      <w:tr>
        <w:tc>
          <w:tcPr>
            <w:tcW w:type="dxa" w:w="2076"/>
          </w:tcPr>
          <w:p>
            <w:pPr>
              <w:jc w:val="center"/>
            </w:pPr>
          </w:p>
        </w:tc>
        <w:tc>
          <w:tcPr>
            <w:tcW w:type="dxa" w:w="2076"/>
          </w:tcPr>
          <w:p>
            <w:pPr>
              <w:jc w:val="center"/>
            </w:pPr>
            <w:r>
              <w:rPr/>
              <w:t>2</w:t>
            </w:r>
          </w:p>
        </w:tc>
        <w:tc>
          <w:tcPr>
            <w:tcW w:type="dxa" w:w="2076"/>
          </w:tcPr>
          <w:p>
            <w:pPr>
              <w:jc w:val="left"/>
            </w:pPr>
            <w:r>
              <w:rPr/>
              <w:t>交货期、交货方式及交货地点</w:t>
            </w:r>
          </w:p>
        </w:tc>
        <w:tc>
          <w:tcPr>
            <w:tcW w:type="dxa" w:w="2076"/>
          </w:tcPr>
          <w:p>
            <w:pPr>
              <w:jc w:val="left"/>
            </w:pPr>
            <w:r>
              <w:rPr/>
              <w:t>1、交货期：合同约定生效之日起三个月内完成建设。 2、交货方式：设备的包装均应有良好的防湿、防锈、防潮、防雨、防腐及防碰撞的措施。凡由于包装不良造成的损失和由此产生的费用均由成交供应商承担。成交供应商运输到采购人指定地点并完成安装调试且经采购人验 收合格，运费、装卸费用、搬运费用、安装费用由成交供应商承担。  3、交货地点：成交供应商应按采购人指定地点交付货物及安装建设。</w:t>
            </w:r>
          </w:p>
        </w:tc>
      </w:tr>
      <w:tr>
        <w:tc>
          <w:tcPr>
            <w:tcW w:type="dxa" w:w="2076"/>
          </w:tcPr>
          <w:p>
            <w:pPr>
              <w:jc w:val="center"/>
            </w:pPr>
          </w:p>
        </w:tc>
        <w:tc>
          <w:tcPr>
            <w:tcW w:type="dxa" w:w="2076"/>
          </w:tcPr>
          <w:p>
            <w:pPr>
              <w:jc w:val="center"/>
            </w:pPr>
            <w:r>
              <w:rPr/>
              <w:t>3</w:t>
            </w:r>
          </w:p>
        </w:tc>
        <w:tc>
          <w:tcPr>
            <w:tcW w:type="dxa" w:w="2076"/>
          </w:tcPr>
          <w:p>
            <w:pPr>
              <w:jc w:val="left"/>
            </w:pPr>
            <w:r>
              <w:rPr/>
              <w:t>质保期及售后服务要求</w:t>
            </w:r>
          </w:p>
        </w:tc>
        <w:tc>
          <w:tcPr>
            <w:tcW w:type="dxa" w:w="2076"/>
          </w:tcPr>
          <w:p>
            <w:pPr>
              <w:jc w:val="left"/>
            </w:pPr>
            <w:r>
              <w:rPr/>
              <w:t>1、质量保证期（简称“质保期”）不少于 1年，（如“采购项目技术要求”中对部分产品要求的质保期限或供应商能提供的质保期限更长，以较长的质保期为准）质保期自验收合格之日起计算。质保期内成交供应商对所供货物实行包修、包换、包退、包维护保养，期满后可同时提供终身(有偿)维修保养服务。 2、质保期内，如设备或零部件因非人为因素出现故障而造成短期停用时，则质保期和免费维修期相应顺延。如停用时间累计超过60天则质保期重新计算。对采购人的服务通知，成交供应商在接报后1小时内响应，3小时内到达现场，48小时内处理完毕。若在48小时内仍未能有效解决，成交供应商须免费提供同档次的设备予采购人临时使用。</w:t>
            </w:r>
          </w:p>
        </w:tc>
      </w:tr>
      <w:tr>
        <w:tc>
          <w:tcPr>
            <w:tcW w:type="dxa" w:w="2076"/>
          </w:tcPr>
          <w:p>
            <w:pPr>
              <w:jc w:val="center"/>
            </w:pPr>
          </w:p>
        </w:tc>
        <w:tc>
          <w:tcPr>
            <w:tcW w:type="dxa" w:w="2076"/>
          </w:tcPr>
          <w:p>
            <w:pPr>
              <w:jc w:val="center"/>
            </w:pPr>
            <w:r>
              <w:rPr/>
              <w:t>4</w:t>
            </w:r>
          </w:p>
        </w:tc>
        <w:tc>
          <w:tcPr>
            <w:tcW w:type="dxa" w:w="2076"/>
          </w:tcPr>
          <w:p>
            <w:pPr>
              <w:jc w:val="left"/>
            </w:pPr>
            <w:r>
              <w:rPr/>
              <w:t>安装与调试</w:t>
            </w:r>
          </w:p>
        </w:tc>
        <w:tc>
          <w:tcPr>
            <w:tcW w:type="dxa" w:w="2076"/>
          </w:tcPr>
          <w:p>
            <w:pPr>
              <w:jc w:val="left"/>
            </w:pPr>
            <w:r>
              <w:rPr/>
              <w:t>成交供应商必须依照采购文件的要求和报价文件的承诺，将设备、系统安装并调试至正常运行的最佳状态。</w:t>
            </w:r>
          </w:p>
        </w:tc>
      </w:tr>
      <w:tr>
        <w:tc>
          <w:tcPr>
            <w:tcW w:type="dxa" w:w="2076"/>
          </w:tcPr>
          <w:p>
            <w:pPr>
              <w:jc w:val="center"/>
            </w:pPr>
          </w:p>
        </w:tc>
        <w:tc>
          <w:tcPr>
            <w:tcW w:type="dxa" w:w="2076"/>
          </w:tcPr>
          <w:p>
            <w:pPr>
              <w:jc w:val="center"/>
            </w:pPr>
            <w:r>
              <w:rPr/>
              <w:t>5</w:t>
            </w:r>
          </w:p>
        </w:tc>
        <w:tc>
          <w:tcPr>
            <w:tcW w:type="dxa" w:w="2076"/>
          </w:tcPr>
          <w:p>
            <w:pPr>
              <w:jc w:val="left"/>
            </w:pPr>
            <w:r>
              <w:rPr/>
              <w:t>供应商信誉及团队要求</w:t>
            </w:r>
          </w:p>
        </w:tc>
        <w:tc>
          <w:tcPr>
            <w:tcW w:type="dxa" w:w="2076"/>
          </w:tcPr>
          <w:p>
            <w:pPr>
              <w:jc w:val="left"/>
            </w:pPr>
            <w:r>
              <w:rPr/>
              <w:t>1、供应商过往应承接过同类项目经验。 2、系统实施要求 供应商应做好项目管理计划，严格按照制定的项目进度、质量要求开展项目的推进工作。 项目确定成交供应商后，应立即组建项目管理团队，制定详细的施工组织管理计划(包括但不限于质量控制及重点难点分析,项目进度计划及保证措施等)。并定期向采购单位相关负责人员通报项目进展，及时沟通项目过程中的重点难点问题，共同保障项目的顺利实施及验收交付工作。 3、成交供应商必须满足以下要求： （1）专业性标准 成交供应商应具有完善的内设机构和质量管理体系制度，配备专业资质、专业业务和优秀团队技术人员；在项目实施过程中，要以专业的业务知识和技术能力提供系统设备安装、部署、调试测试等服务。 供应商拟按排的团队人员须具有较强的专业知识，熟悉了解档案管理系统开发、操作、管理等流程。 （2）服务质量标准 承建团队应秉承服务第一、质量第一的原则，坚决执行项目计划中指定的质量标准要求，确保项目最终的保质保量按期完成交付验收。（3）服务管理标准 项目团队应具备专业的项目管理技能和项目管理经验，全盘统筹制定项目管理计划、制定有效的项目管理措施，识别项目中存在的风险并进行相对应的定性定量分析，实施有效的质量管理，采购管理，合同管理，相关方管理等，项目过程中做好各项资料信息的收集和登记，并于验收阶段统一归档，落实项目组织过程资产等相应文件材料的内容维护，保障项目的最终顺利交付。 4、项目维护：整套设施设备系统自正式交付投用后，进入运行维护期，质保期时间以最终签订的合同条款为准，质保期间，相关系统设备设施成交供应商应提供免费维修维保服务，对于故障件和设备提供免费维修或更换服务，确保档案馆内各系统的稳定可靠运行要求。 整套设施设备系统自正式交付投用后，成交供应商应该承诺对设备及信息化系统等，在验收合格后半年内每个月至少例检一次。维保期间满后，成交供应商应承诺可提供用于更换的设备设施、或维修部件，如因停产应提前给予通知或提供可行的后备方案。</w:t>
            </w:r>
          </w:p>
        </w:tc>
      </w:tr>
      <w:tr>
        <w:tc>
          <w:tcPr>
            <w:tcW w:type="dxa" w:w="2076"/>
          </w:tcPr>
          <w:p>
            <w:pPr>
              <w:jc w:val="center"/>
            </w:pPr>
          </w:p>
        </w:tc>
        <w:tc>
          <w:tcPr>
            <w:tcW w:type="dxa" w:w="2076"/>
          </w:tcPr>
          <w:p>
            <w:pPr>
              <w:jc w:val="center"/>
            </w:pPr>
            <w:r>
              <w:rPr/>
              <w:t>6</w:t>
            </w:r>
          </w:p>
        </w:tc>
        <w:tc>
          <w:tcPr>
            <w:tcW w:type="dxa" w:w="2076"/>
          </w:tcPr>
          <w:p>
            <w:pPr>
              <w:jc w:val="left"/>
            </w:pPr>
            <w:r>
              <w:rPr/>
              <w:t>现场安全、保密措施制度</w:t>
            </w:r>
          </w:p>
        </w:tc>
        <w:tc>
          <w:tcPr>
            <w:tcW w:type="dxa" w:w="2076"/>
          </w:tcPr>
          <w:p>
            <w:pPr>
              <w:jc w:val="left"/>
            </w:pPr>
            <w:r>
              <w:rPr/>
              <w:t>供应商应建立工作现场安全、保密措施、人员流动等管理制度，确保实施过程安全、高效，无发生档案资料涉密、财产失窃、人身安全等事件。</w:t>
            </w:r>
          </w:p>
        </w:tc>
      </w:tr>
      <w:tr>
        <w:tc>
          <w:tcPr>
            <w:tcW w:type="dxa" w:w="2076"/>
          </w:tcPr>
          <w:p>
            <w:pPr>
              <w:jc w:val="center"/>
            </w:pPr>
          </w:p>
        </w:tc>
        <w:tc>
          <w:tcPr>
            <w:tcW w:type="dxa" w:w="2076"/>
          </w:tcPr>
          <w:p>
            <w:pPr>
              <w:jc w:val="center"/>
            </w:pPr>
            <w:r>
              <w:rPr/>
              <w:t>7</w:t>
            </w:r>
          </w:p>
        </w:tc>
        <w:tc>
          <w:tcPr>
            <w:tcW w:type="dxa" w:w="2076"/>
          </w:tcPr>
          <w:p>
            <w:pPr>
              <w:jc w:val="left"/>
            </w:pPr>
            <w:r>
              <w:rPr/>
              <w:t>软件开发功能</w:t>
            </w:r>
          </w:p>
        </w:tc>
        <w:tc>
          <w:tcPr>
            <w:tcW w:type="dxa" w:w="2076"/>
          </w:tcPr>
          <w:p>
            <w:pPr>
              <w:jc w:val="left"/>
            </w:pPr>
            <w:r>
              <w:rPr/>
              <w:t>供应商应根据档案综合管理系统建设技术参数要求提供可行性、高效方案。</w:t>
            </w:r>
          </w:p>
        </w:tc>
      </w:tr>
    </w:tbl>
    <w:p/>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r>
              <w:rPr/>
              <w:t>说明</w:t>
            </w:r>
          </w:p>
        </w:tc>
        <w:tc>
          <w:tcPr>
            <w:tcW w:type="dxa" w:w="5538"/>
            <w:gridSpan w:val="2"/>
          </w:tcPr>
          <w:p>
            <w:pPr>
              <w:jc w:val="left"/>
            </w:pPr>
            <w:r>
              <w:rPr/>
              <w:t>打“★”号条款为实质性条款，若有任何一条负偏离或不满足则导致投标（响应）无效。</w:t>
            </w:r>
            <w:r>
              <w:br/>
            </w:r>
            <w:r>
              <w:rPr/>
              <w:t>打“▲”号条款为重要参数（如有），若有部分“▲”条款未响应或不满足，将根据评审要求影响其得分，但不作为无效投标（响应）条款。</w:t>
            </w:r>
          </w:p>
        </w:tc>
      </w:tr>
    </w:tbl>
    <w:p>
      <w:r>
        <w:rPr>
          <w:b/>
        </w:rPr>
        <w:t>2.技术标准与要求</w:t>
      </w:r>
    </w:p>
    <w:p/>
    <w:p/>
    <w:p/>
    <w:tbl>
      <w:tblPr>
        <w:tblW w:w="0" w:type="auto"/>
        <w:tblBorders>
          <w:top w:val="single"/>
          <w:left w:val="single"/>
          <w:bottom w:val="single"/>
          <w:right w:val="single"/>
          <w:insideH w:val="single"/>
          <w:insideV w:val="single"/>
        </w:tblBorders>
      </w:tblPr>
      <w:tblGrid>
        <w:gridCol w:w="933"/>
        <w:gridCol w:w="933"/>
        <w:gridCol w:w="933"/>
        <w:gridCol w:w="933"/>
        <w:gridCol w:w="933"/>
        <w:gridCol w:w="933"/>
        <w:gridCol w:w="933"/>
        <w:gridCol w:w="840"/>
        <w:gridCol w:w="933"/>
      </w:tblGrid>
      <w:tr>
        <w:tc>
          <w:tcPr>
            <w:tcW w:type="dxa" w:w="933"/>
          </w:tcPr>
          <w:p>
            <w:pPr>
              <w:jc w:val="center"/>
            </w:pPr>
            <w:r>
              <w:rPr/>
              <w:t>序号</w:t>
            </w:r>
          </w:p>
        </w:tc>
        <w:tc>
          <w:tcPr>
            <w:tcW w:type="dxa" w:w="933"/>
          </w:tcPr>
          <w:p>
            <w:pPr>
              <w:jc w:val="center"/>
            </w:pPr>
            <w:r>
              <w:rPr/>
              <w:t>品目名称</w:t>
            </w:r>
          </w:p>
        </w:tc>
        <w:tc>
          <w:tcPr>
            <w:tcW w:type="dxa" w:w="933"/>
          </w:tcPr>
          <w:p>
            <w:pPr>
              <w:jc w:val="center"/>
            </w:pPr>
            <w:r>
              <w:rPr/>
              <w:t>标的名称</w:t>
            </w:r>
          </w:p>
        </w:tc>
        <w:tc>
          <w:tcPr>
            <w:tcW w:type="dxa" w:w="933"/>
          </w:tcPr>
          <w:p>
            <w:pPr>
              <w:jc w:val="center"/>
            </w:pPr>
            <w:r>
              <w:rPr/>
              <w:t>单位</w:t>
            </w:r>
          </w:p>
        </w:tc>
        <w:tc>
          <w:tcPr>
            <w:tcW w:type="dxa" w:w="933"/>
          </w:tcPr>
          <w:p>
            <w:pPr>
              <w:jc w:val="center"/>
            </w:pPr>
            <w:r>
              <w:rPr/>
              <w:t>数量</w:t>
            </w:r>
          </w:p>
        </w:tc>
        <w:tc>
          <w:tcPr>
            <w:tcW w:type="dxa" w:w="933"/>
          </w:tcPr>
          <w:p>
            <w:pPr>
              <w:jc w:val="center"/>
            </w:pPr>
            <w:r>
              <w:rPr/>
              <w:t>分项预算单价（元）</w:t>
            </w:r>
          </w:p>
        </w:tc>
        <w:tc>
          <w:tcPr>
            <w:tcW w:type="dxa" w:w="933"/>
          </w:tcPr>
          <w:p>
            <w:pPr>
              <w:jc w:val="center"/>
            </w:pPr>
            <w:r>
              <w:rPr/>
              <w:t>分项预算总价（元）</w:t>
            </w:r>
          </w:p>
        </w:tc>
        <w:tc>
          <w:tcPr>
            <w:tcW w:type="dxa" w:w="840"/>
          </w:tcPr>
          <w:p>
            <w:r>
              <w:rPr/>
              <w:t>所属行业</w:t>
            </w:r>
          </w:p>
        </w:tc>
        <w:tc>
          <w:tcPr>
            <w:tcW w:type="dxa" w:w="933"/>
          </w:tcPr>
          <w:p>
            <w:pPr>
              <w:jc w:val="center"/>
            </w:pPr>
            <w:r>
              <w:rPr/>
              <w:t>技术要求</w:t>
            </w:r>
          </w:p>
        </w:tc>
      </w:tr>
      <w:tr>
        <w:tc>
          <w:tcPr>
            <w:tcW w:type="dxa" w:w="933"/>
          </w:tcPr>
          <w:p>
            <w:pPr>
              <w:jc w:val="center"/>
            </w:pPr>
            <w:r>
              <w:rPr/>
              <w:t>1</w:t>
            </w:r>
          </w:p>
        </w:tc>
        <w:tc>
          <w:tcPr>
            <w:tcW w:type="dxa" w:w="933"/>
          </w:tcPr>
          <w:p>
            <w:pPr>
              <w:jc w:val="left"/>
            </w:pPr>
            <w:r>
              <w:rPr/>
              <w:t>基础软件开发服务</w:t>
            </w:r>
          </w:p>
        </w:tc>
        <w:tc>
          <w:tcPr>
            <w:tcW w:type="dxa" w:w="933"/>
          </w:tcPr>
          <w:p>
            <w:pPr>
              <w:jc w:val="left"/>
            </w:pPr>
            <w:r>
              <w:rPr/>
              <w:t>档案综合管理系统开发建设</w:t>
            </w:r>
          </w:p>
        </w:tc>
        <w:tc>
          <w:tcPr>
            <w:tcW w:type="dxa" w:w="933"/>
          </w:tcPr>
          <w:p>
            <w:pPr>
              <w:jc w:val="left"/>
            </w:pPr>
            <w:r>
              <w:rPr/>
              <w:t>项</w:t>
            </w:r>
          </w:p>
        </w:tc>
        <w:tc>
          <w:tcPr>
            <w:tcW w:type="dxa" w:w="933"/>
          </w:tcPr>
          <w:p>
            <w:pPr>
              <w:jc w:val="right"/>
            </w:pPr>
            <w:r>
              <w:rPr/>
              <w:t>1.00</w:t>
            </w:r>
          </w:p>
        </w:tc>
        <w:tc>
          <w:tcPr>
            <w:tcW w:type="dxa" w:w="933"/>
          </w:tcPr>
          <w:p>
            <w:pPr>
              <w:jc w:val="right"/>
            </w:pPr>
            <w:r>
              <w:rPr/>
              <w:t>385,000.00</w:t>
            </w:r>
          </w:p>
        </w:tc>
        <w:tc>
          <w:tcPr>
            <w:tcW w:type="dxa" w:w="933"/>
          </w:tcPr>
          <w:p>
            <w:pPr>
              <w:jc w:val="right"/>
            </w:pPr>
            <w:r>
              <w:rPr/>
              <w:t>385,000.00</w:t>
            </w:r>
          </w:p>
        </w:tc>
        <w:tc>
          <w:tcPr>
            <w:tcW w:type="dxa" w:w="840"/>
          </w:tcPr>
          <w:p>
            <w:r>
              <w:rPr/>
              <w:t>软件和信息技术服务业</w:t>
            </w:r>
          </w:p>
        </w:tc>
        <w:tc>
          <w:tcPr>
            <w:tcW w:type="dxa" w:w="933"/>
          </w:tcPr>
          <w:p>
            <w:r>
              <w:rPr/>
              <w:t>详见附表一</w:t>
            </w:r>
          </w:p>
        </w:tc>
      </w:tr>
      <w:tr>
        <w:tc>
          <w:tcPr>
            <w:tcW w:type="dxa" w:w="933"/>
          </w:tcPr>
          <w:p>
            <w:pPr>
              <w:jc w:val="center"/>
            </w:pPr>
            <w:r>
              <w:rPr/>
              <w:t>2</w:t>
            </w:r>
          </w:p>
        </w:tc>
        <w:tc>
          <w:tcPr>
            <w:tcW w:type="dxa" w:w="933"/>
          </w:tcPr>
          <w:p>
            <w:pPr>
              <w:jc w:val="left"/>
            </w:pPr>
            <w:r>
              <w:rPr/>
              <w:t>其他信息技术服务</w:t>
            </w:r>
          </w:p>
        </w:tc>
        <w:tc>
          <w:tcPr>
            <w:tcW w:type="dxa" w:w="933"/>
          </w:tcPr>
          <w:p>
            <w:pPr>
              <w:jc w:val="left"/>
            </w:pPr>
            <w:r>
              <w:rPr/>
              <w:t>库房环境系统建设</w:t>
            </w:r>
          </w:p>
        </w:tc>
        <w:tc>
          <w:tcPr>
            <w:tcW w:type="dxa" w:w="933"/>
          </w:tcPr>
          <w:p>
            <w:pPr>
              <w:jc w:val="left"/>
            </w:pPr>
            <w:r>
              <w:rPr/>
              <w:t>项</w:t>
            </w:r>
          </w:p>
        </w:tc>
        <w:tc>
          <w:tcPr>
            <w:tcW w:type="dxa" w:w="933"/>
          </w:tcPr>
          <w:p>
            <w:pPr>
              <w:jc w:val="right"/>
            </w:pPr>
            <w:r>
              <w:rPr/>
              <w:t>1.00</w:t>
            </w:r>
          </w:p>
        </w:tc>
        <w:tc>
          <w:tcPr>
            <w:tcW w:type="dxa" w:w="933"/>
          </w:tcPr>
          <w:p>
            <w:pPr>
              <w:jc w:val="right"/>
            </w:pPr>
            <w:r>
              <w:rPr/>
              <w:t>796,500.00</w:t>
            </w:r>
          </w:p>
        </w:tc>
        <w:tc>
          <w:tcPr>
            <w:tcW w:type="dxa" w:w="933"/>
          </w:tcPr>
          <w:p>
            <w:pPr>
              <w:jc w:val="right"/>
            </w:pPr>
            <w:r>
              <w:rPr/>
              <w:t>796,500.00</w:t>
            </w:r>
          </w:p>
        </w:tc>
        <w:tc>
          <w:tcPr>
            <w:tcW w:type="dxa" w:w="840"/>
          </w:tcPr>
          <w:p>
            <w:r>
              <w:rPr/>
              <w:t>软件和信息技术服务业</w:t>
            </w:r>
          </w:p>
        </w:tc>
        <w:tc>
          <w:tcPr>
            <w:tcW w:type="dxa" w:w="933"/>
          </w:tcPr>
          <w:p>
            <w:r>
              <w:rPr/>
              <w:t>详见附表二</w:t>
            </w:r>
          </w:p>
        </w:tc>
      </w:tr>
      <w:tr>
        <w:tc>
          <w:tcPr>
            <w:tcW w:type="dxa" w:w="933"/>
          </w:tcPr>
          <w:p>
            <w:pPr>
              <w:jc w:val="center"/>
            </w:pPr>
            <w:r>
              <w:rPr/>
              <w:t>3</w:t>
            </w:r>
          </w:p>
        </w:tc>
        <w:tc>
          <w:tcPr>
            <w:tcW w:type="dxa" w:w="933"/>
          </w:tcPr>
          <w:p>
            <w:pPr>
              <w:jc w:val="left"/>
            </w:pPr>
            <w:r>
              <w:rPr/>
              <w:t>其他图书档案设备</w:t>
            </w:r>
          </w:p>
        </w:tc>
        <w:tc>
          <w:tcPr>
            <w:tcW w:type="dxa" w:w="933"/>
          </w:tcPr>
          <w:p>
            <w:pPr>
              <w:jc w:val="left"/>
            </w:pPr>
            <w:r>
              <w:rPr/>
              <w:t>档案存储系统建设</w:t>
            </w:r>
          </w:p>
        </w:tc>
        <w:tc>
          <w:tcPr>
            <w:tcW w:type="dxa" w:w="933"/>
          </w:tcPr>
          <w:p>
            <w:pPr>
              <w:jc w:val="left"/>
            </w:pPr>
            <w:r>
              <w:rPr/>
              <w:t>项</w:t>
            </w:r>
          </w:p>
        </w:tc>
        <w:tc>
          <w:tcPr>
            <w:tcW w:type="dxa" w:w="933"/>
          </w:tcPr>
          <w:p>
            <w:pPr>
              <w:jc w:val="right"/>
            </w:pPr>
            <w:r>
              <w:rPr/>
              <w:t>1.00</w:t>
            </w:r>
          </w:p>
        </w:tc>
        <w:tc>
          <w:tcPr>
            <w:tcW w:type="dxa" w:w="933"/>
          </w:tcPr>
          <w:p>
            <w:pPr>
              <w:jc w:val="right"/>
            </w:pPr>
            <w:r>
              <w:rPr/>
              <w:t>496,180.00</w:t>
            </w:r>
          </w:p>
        </w:tc>
        <w:tc>
          <w:tcPr>
            <w:tcW w:type="dxa" w:w="933"/>
          </w:tcPr>
          <w:p>
            <w:pPr>
              <w:jc w:val="right"/>
            </w:pPr>
            <w:r>
              <w:rPr/>
              <w:t>496,180.00</w:t>
            </w:r>
          </w:p>
        </w:tc>
        <w:tc>
          <w:tcPr>
            <w:tcW w:type="dxa" w:w="840"/>
          </w:tcPr>
          <w:p>
            <w:r>
              <w:rPr/>
              <w:t>工业</w:t>
            </w:r>
          </w:p>
        </w:tc>
        <w:tc>
          <w:tcPr>
            <w:tcW w:type="dxa" w:w="933"/>
          </w:tcPr>
          <w:p>
            <w:r>
              <w:rPr/>
              <w:t>详见附表三</w:t>
            </w:r>
          </w:p>
        </w:tc>
      </w:tr>
    </w:tbl>
    <w:p/>
    <w:p>
      <w:r>
        <w:rPr>
          <w:b/>
        </w:rPr>
        <w:t>附表</w:t>
      </w:r>
      <w:r>
        <w:rPr>
          <w:b/>
        </w:rPr>
        <w:t>一</w:t>
      </w:r>
      <w:r>
        <w:rPr>
          <w:b/>
        </w:rPr>
        <w:t>：</w:t>
      </w:r>
      <w:r>
        <w:rPr>
          <w:b/>
        </w:rPr>
        <w:t>档案综合管理系统开发建设</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r>
              <w:rPr/>
              <w:t>参数性质</w:t>
            </w:r>
          </w:p>
        </w:tc>
        <w:tc>
          <w:tcPr>
            <w:tcW w:type="dxa" w:w="415"/>
          </w:tcPr>
          <w:p>
            <w:r>
              <w:rPr/>
              <w:t>序号</w:t>
            </w:r>
          </w:p>
        </w:tc>
        <w:tc>
          <w:tcPr>
            <w:tcW w:type="dxa" w:w="5814"/>
          </w:tcPr>
          <w:p>
            <w:r>
              <w:rPr/>
              <w:t>具体技术(参数)要求</w:t>
            </w:r>
          </w:p>
        </w:tc>
      </w:tr>
      <w:tr>
        <w:tc>
          <w:tcPr>
            <w:tcW w:type="dxa" w:w="2076"/>
          </w:tcPr>
          <w:p/>
        </w:tc>
        <w:tc>
          <w:tcPr>
            <w:tcW w:type="dxa" w:w="415"/>
          </w:tcPr>
          <w:p>
            <w:r>
              <w:rPr/>
              <w:t>1</w:t>
            </w:r>
          </w:p>
        </w:tc>
        <w:tc>
          <w:tcPr>
            <w:tcW w:type="dxa" w:w="5814"/>
          </w:tcPr>
          <w:p>
            <w:pPr>
              <w:jc w:val="both"/>
            </w:pPr>
            <w:r>
              <w:rPr>
                <w:sz w:val="21"/>
              </w:rPr>
              <w:t>1</w:t>
            </w:r>
            <w:r>
              <w:rPr>
                <w:sz w:val="21"/>
              </w:rPr>
              <w:t>、基本开发要求</w:t>
            </w:r>
          </w:p>
          <w:p>
            <w:pPr>
              <w:jc w:val="both"/>
            </w:pPr>
            <w:r>
              <w:rPr>
                <w:sz w:val="21"/>
              </w:rPr>
              <w:t>系统总体架构上基于</w:t>
            </w:r>
            <w:r>
              <w:rPr>
                <w:sz w:val="21"/>
              </w:rPr>
              <w:t>J2EE</w:t>
            </w:r>
            <w:r>
              <w:rPr>
                <w:sz w:val="21"/>
              </w:rPr>
              <w:t>技术架构，主体应用程序遵循</w:t>
            </w:r>
            <w:r>
              <w:rPr>
                <w:sz w:val="21"/>
              </w:rPr>
              <w:t>mvc</w:t>
            </w:r>
            <w:r>
              <w:rPr>
                <w:sz w:val="21"/>
              </w:rPr>
              <w:t>三层结构要求，业务逻辑层通过</w:t>
            </w:r>
            <w:r>
              <w:rPr>
                <w:sz w:val="21"/>
              </w:rPr>
              <w:t>SOA</w:t>
            </w:r>
            <w:r>
              <w:rPr>
                <w:sz w:val="21"/>
              </w:rPr>
              <w:t>结构再细化，层次间通过接口化设计，使程序建设做到高复用、低聚合、低耦合，需适配国产化环境。须与</w:t>
            </w:r>
            <w:r>
              <w:rPr>
                <w:sz w:val="21"/>
              </w:rPr>
              <w:t>档案馆原系统数据无缝</w:t>
            </w:r>
            <w:r>
              <w:rPr>
                <w:sz w:val="21"/>
              </w:rPr>
              <w:t>对接</w:t>
            </w:r>
            <w:r>
              <w:rPr>
                <w:sz w:val="21"/>
              </w:rPr>
              <w:t>。</w:t>
            </w:r>
            <w:r>
              <w:rPr>
                <w:sz w:val="21"/>
              </w:rPr>
              <w:t xml:space="preserve"> </w:t>
            </w:r>
          </w:p>
        </w:tc>
      </w:tr>
      <w:tr>
        <w:tc>
          <w:tcPr>
            <w:tcW w:type="dxa" w:w="2076"/>
          </w:tcPr>
          <w:p/>
        </w:tc>
        <w:tc>
          <w:tcPr>
            <w:tcW w:type="dxa" w:w="415"/>
          </w:tcPr>
          <w:p>
            <w:r>
              <w:rPr/>
              <w:t>2</w:t>
            </w:r>
          </w:p>
        </w:tc>
        <w:tc>
          <w:tcPr>
            <w:tcW w:type="dxa" w:w="5814"/>
          </w:tcPr>
          <w:p>
            <w:pPr>
              <w:jc w:val="both"/>
            </w:pPr>
            <w:r>
              <w:rPr>
                <w:b/>
                <w:sz w:val="21"/>
              </w:rPr>
              <w:t>2、收集管理功能开发</w:t>
            </w:r>
          </w:p>
          <w:p>
            <w:pPr>
              <w:ind w:firstLine="420"/>
              <w:jc w:val="both"/>
            </w:pPr>
            <w:r>
              <w:rPr>
                <w:sz w:val="21"/>
              </w:rPr>
              <w:t>未归文件收集</w:t>
            </w:r>
            <w:r>
              <w:rPr>
                <w:sz w:val="21"/>
              </w:rPr>
              <w:t>：</w:t>
            </w:r>
            <w:r>
              <w:rPr>
                <w:sz w:val="21"/>
              </w:rPr>
              <w:t>提供用户对未进行编制档号归档的文件进行收集整理</w:t>
            </w:r>
            <w:r>
              <w:rPr>
                <w:sz w:val="21"/>
              </w:rPr>
              <w:t>，可</w:t>
            </w:r>
            <w:r>
              <w:rPr>
                <w:sz w:val="21"/>
              </w:rPr>
              <w:t>归档到具体档案分类模块中去。</w:t>
            </w:r>
          </w:p>
          <w:p>
            <w:pPr>
              <w:ind w:firstLine="420"/>
              <w:jc w:val="both"/>
            </w:pPr>
            <w:r>
              <w:rPr>
                <w:sz w:val="21"/>
              </w:rPr>
              <w:t>数据导入：</w:t>
            </w:r>
            <w:r>
              <w:rPr>
                <w:sz w:val="21"/>
              </w:rPr>
              <w:t>提供用户导入格式数据包批量接收档案或者文件数据到系统的功能。</w:t>
            </w:r>
          </w:p>
          <w:p>
            <w:pPr>
              <w:jc w:val="both"/>
            </w:pPr>
            <w:r>
              <w:rPr>
                <w:sz w:val="21"/>
              </w:rPr>
              <w:t>电子文件挂接：提供单位用户对数字化加工成果的电子文件进行挂接关联保存到系统，使原来内存保存在纸质实体的档案通过扫描形成的电子副本与系统的档案属性目录进行关联。</w:t>
            </w:r>
          </w:p>
        </w:tc>
      </w:tr>
      <w:tr>
        <w:tc>
          <w:tcPr>
            <w:tcW w:type="dxa" w:w="2076"/>
          </w:tcPr>
          <w:p/>
        </w:tc>
        <w:tc>
          <w:tcPr>
            <w:tcW w:type="dxa" w:w="415"/>
          </w:tcPr>
          <w:p>
            <w:r>
              <w:rPr/>
              <w:t>3</w:t>
            </w:r>
          </w:p>
        </w:tc>
        <w:tc>
          <w:tcPr>
            <w:tcW w:type="dxa" w:w="5814"/>
          </w:tcPr>
          <w:p>
            <w:pPr>
              <w:jc w:val="both"/>
            </w:pPr>
            <w:r>
              <w:rPr>
                <w:b/>
                <w:sz w:val="21"/>
              </w:rPr>
              <w:t>3、档案数据管理功能开发</w:t>
            </w:r>
          </w:p>
          <w:p>
            <w:pPr>
              <w:ind w:firstLine="420"/>
              <w:jc w:val="both"/>
            </w:pPr>
            <w:r>
              <w:rPr>
                <w:sz w:val="21"/>
              </w:rPr>
              <w:t>归档管理</w:t>
            </w:r>
            <w:r>
              <w:rPr>
                <w:sz w:val="21"/>
              </w:rPr>
              <w:t>：</w:t>
            </w:r>
            <w:r>
              <w:rPr>
                <w:sz w:val="21"/>
              </w:rPr>
              <w:t>系统的核心管理功能，提供功能对档案进行按一文一件归档方式组织归档的档案管理。</w:t>
            </w:r>
          </w:p>
          <w:p>
            <w:pPr>
              <w:ind w:firstLine="420"/>
              <w:jc w:val="both"/>
            </w:pPr>
            <w:r>
              <w:rPr>
                <w:sz w:val="21"/>
              </w:rPr>
              <w:t>案卷管理</w:t>
            </w:r>
            <w:r>
              <w:rPr>
                <w:sz w:val="21"/>
              </w:rPr>
              <w:t>：</w:t>
            </w:r>
            <w:r>
              <w:rPr>
                <w:sz w:val="21"/>
              </w:rPr>
              <w:t>提供立卷归档的档案的管理功能。</w:t>
            </w:r>
          </w:p>
          <w:p>
            <w:pPr>
              <w:ind w:firstLine="420"/>
              <w:jc w:val="both"/>
            </w:pPr>
            <w:r>
              <w:rPr>
                <w:sz w:val="21"/>
              </w:rPr>
              <w:t>资料管理</w:t>
            </w:r>
            <w:r>
              <w:rPr>
                <w:sz w:val="21"/>
              </w:rPr>
              <w:t>：</w:t>
            </w:r>
            <w:r>
              <w:rPr>
                <w:sz w:val="21"/>
              </w:rPr>
              <w:t>提供无需进行档案移交开放等鉴定业务的单位资料的管理功能。</w:t>
            </w:r>
          </w:p>
          <w:p>
            <w:pPr>
              <w:ind w:firstLine="420"/>
              <w:jc w:val="both"/>
            </w:pPr>
            <w:r>
              <w:rPr>
                <w:sz w:val="21"/>
              </w:rPr>
              <w:t>档案鉴定：</w:t>
            </w:r>
            <w:r>
              <w:rPr>
                <w:sz w:val="21"/>
              </w:rPr>
              <w:t>系统在具体数据管理模块中提供便捷的操作功能处理档案记录的开放鉴定和销毁鉴定，并提供开放数据管理和销毁数据管理两个管理模块对系统整体的鉴定处理情况进行管理。</w:t>
            </w:r>
          </w:p>
          <w:p>
            <w:pPr>
              <w:jc w:val="both"/>
            </w:pPr>
            <w:r>
              <w:rPr>
                <w:sz w:val="21"/>
              </w:rPr>
              <w:t>统计管理：</w:t>
            </w:r>
            <w:r>
              <w:rPr>
                <w:sz w:val="21"/>
              </w:rPr>
              <w:t>统计报表和统计图表提供一个对系统档案和文件的存储情况、管理情况、利用情况的形象展示功能，提供保管期限统计、年度统计、文件格式统计等种统计信息，用户如果在使用过程中需要对图表进行修改或新增统计，可以通过订制方式添加。</w:t>
            </w:r>
          </w:p>
        </w:tc>
      </w:tr>
      <w:tr>
        <w:tc>
          <w:tcPr>
            <w:tcW w:type="dxa" w:w="2076"/>
          </w:tcPr>
          <w:p/>
        </w:tc>
        <w:tc>
          <w:tcPr>
            <w:tcW w:type="dxa" w:w="415"/>
          </w:tcPr>
          <w:p>
            <w:r>
              <w:rPr/>
              <w:t>4</w:t>
            </w:r>
          </w:p>
        </w:tc>
        <w:tc>
          <w:tcPr>
            <w:tcW w:type="dxa" w:w="5814"/>
          </w:tcPr>
          <w:p>
            <w:pPr>
              <w:jc w:val="both"/>
            </w:pPr>
            <w:r>
              <w:rPr>
                <w:b/>
                <w:sz w:val="21"/>
              </w:rPr>
              <w:t>4、档案利用功能开发</w:t>
            </w:r>
          </w:p>
          <w:p>
            <w:pPr>
              <w:ind w:firstLine="420"/>
              <w:jc w:val="both"/>
            </w:pPr>
            <w:r>
              <w:rPr>
                <w:sz w:val="21"/>
              </w:rPr>
              <w:t>借档管理：</w:t>
            </w:r>
            <w:r>
              <w:rPr>
                <w:sz w:val="21"/>
              </w:rPr>
              <w:t>提供单位用户对档案进行实体借阅的信息登记和管理功能。通过借阅管理主界面里的借阅登记、借阅中单据、历史单据对借阅登记、借出监控、归还过程进行管理。</w:t>
            </w:r>
          </w:p>
          <w:p>
            <w:pPr>
              <w:ind w:firstLine="420"/>
              <w:jc w:val="both"/>
            </w:pPr>
            <w:r>
              <w:rPr>
                <w:sz w:val="21"/>
              </w:rPr>
              <w:t>编研管理：提供辅助功能协助用户进行在线建立档案专题、收集归档档案资源或者其他参考资料、协助管理形成专题出版或者专题档案集，发布到外部利用系统进行利用。</w:t>
            </w:r>
          </w:p>
          <w:p>
            <w:pPr>
              <w:ind w:firstLine="420"/>
              <w:jc w:val="both"/>
            </w:pPr>
            <w:r>
              <w:rPr>
                <w:sz w:val="21"/>
              </w:rPr>
              <w:t>综合管理：</w:t>
            </w:r>
            <w:r>
              <w:rPr>
                <w:sz w:val="21"/>
              </w:rPr>
              <w:t>系统提供目录检索、分类检索、全文检索三种不同的方式，对系统保存的所有档案资源及文件资源进行综合检索。</w:t>
            </w:r>
          </w:p>
          <w:p>
            <w:pPr>
              <w:jc w:val="both"/>
            </w:pPr>
            <w:r>
              <w:rPr>
                <w:sz w:val="21"/>
              </w:rPr>
              <w:t>数据导出：系统在具体数据管理模块和分类检索模块都提供导出各种外部系统格式数据和系统内部备份数据包的功能。</w:t>
            </w:r>
          </w:p>
        </w:tc>
      </w:tr>
      <w:tr>
        <w:tc>
          <w:tcPr>
            <w:tcW w:type="dxa" w:w="2076"/>
          </w:tcPr>
          <w:p/>
        </w:tc>
        <w:tc>
          <w:tcPr>
            <w:tcW w:type="dxa" w:w="415"/>
          </w:tcPr>
          <w:p>
            <w:r>
              <w:rPr/>
              <w:t>5</w:t>
            </w:r>
          </w:p>
        </w:tc>
        <w:tc>
          <w:tcPr>
            <w:tcW w:type="dxa" w:w="5814"/>
          </w:tcPr>
          <w:p>
            <w:pPr>
              <w:jc w:val="both"/>
            </w:pPr>
            <w:r>
              <w:rPr>
                <w:b/>
                <w:sz w:val="21"/>
              </w:rPr>
              <w:t>5、系统配置功能开发</w:t>
            </w:r>
          </w:p>
          <w:p>
            <w:pPr>
              <w:ind w:firstLine="420"/>
              <w:jc w:val="both"/>
            </w:pPr>
            <w:r>
              <w:rPr>
                <w:sz w:val="21"/>
              </w:rPr>
              <w:t>数据模型维护：</w:t>
            </w:r>
            <w:r>
              <w:rPr>
                <w:sz w:val="21"/>
              </w:rPr>
              <w:t>系统数据收集、管理支撑性维护功能，系统档案和文件的分类定义、录入界面的属性定义、目录列表展示、数据包输出格式定义都属于数据模型维护的相关功能。</w:t>
            </w:r>
          </w:p>
          <w:p>
            <w:pPr>
              <w:jc w:val="both"/>
            </w:pPr>
            <w:r>
              <w:rPr>
                <w:sz w:val="21"/>
              </w:rPr>
              <w:t>报表维护：提供功能维护系统报表输出的报表模板功能，分为数据分类报表和其他报表两种形式报表。</w:t>
            </w:r>
          </w:p>
        </w:tc>
      </w:tr>
      <w:tr>
        <w:tc>
          <w:tcPr>
            <w:tcW w:type="dxa" w:w="2076"/>
          </w:tcPr>
          <w:p/>
        </w:tc>
        <w:tc>
          <w:tcPr>
            <w:tcW w:type="dxa" w:w="415"/>
          </w:tcPr>
          <w:p>
            <w:r>
              <w:rPr/>
              <w:t>6</w:t>
            </w:r>
          </w:p>
        </w:tc>
        <w:tc>
          <w:tcPr>
            <w:tcW w:type="dxa" w:w="5814"/>
          </w:tcPr>
          <w:p>
            <w:pPr>
              <w:jc w:val="both"/>
            </w:pPr>
            <w:r>
              <w:rPr>
                <w:b/>
                <w:sz w:val="21"/>
              </w:rPr>
              <w:t>6、安全管理</w:t>
            </w:r>
            <w:r>
              <w:rPr>
                <w:b/>
                <w:sz w:val="21"/>
              </w:rPr>
              <w:t>功能开发</w:t>
            </w:r>
          </w:p>
          <w:p>
            <w:pPr>
              <w:ind w:firstLine="420"/>
              <w:jc w:val="both"/>
            </w:pPr>
            <w:r>
              <w:rPr>
                <w:sz w:val="21"/>
              </w:rPr>
              <w:t>机构用户管理：管理系统的用户机构结构及用户信息，以及口令管理。</w:t>
            </w:r>
          </w:p>
          <w:p>
            <w:pPr>
              <w:ind w:firstLine="420"/>
              <w:jc w:val="both"/>
            </w:pPr>
            <w:r>
              <w:rPr>
                <w:sz w:val="21"/>
              </w:rPr>
              <w:t>权限管理</w:t>
            </w:r>
            <w:r>
              <w:rPr>
                <w:sz w:val="21"/>
              </w:rPr>
              <w:t>：</w:t>
            </w:r>
            <w:r>
              <w:rPr>
                <w:sz w:val="21"/>
              </w:rPr>
              <w:t>在三员管理安全模式下，负责系统用户的权限设置分配。</w:t>
            </w:r>
          </w:p>
          <w:p>
            <w:pPr>
              <w:jc w:val="both"/>
            </w:pPr>
            <w:r>
              <w:rPr>
                <w:sz w:val="21"/>
              </w:rPr>
              <w:t>日志管理：通过日志管理功能监控用户使用系统时记录的系统日志，及时发现和处理异常问题。系统日志包括登录日志、数据日志，功能日志、数据日志、异常日志、档案利用日志、安全设置日志。</w:t>
            </w:r>
          </w:p>
        </w:tc>
      </w:tr>
      <w:tr>
        <w:tc>
          <w:tcPr>
            <w:tcW w:type="dxa" w:w="2076"/>
          </w:tcPr>
          <w:p/>
        </w:tc>
        <w:tc>
          <w:tcPr>
            <w:tcW w:type="dxa" w:w="415"/>
          </w:tcPr>
          <w:p>
            <w:r>
              <w:rPr/>
              <w:t>7</w:t>
            </w:r>
          </w:p>
        </w:tc>
        <w:tc>
          <w:tcPr>
            <w:tcW w:type="dxa" w:w="5814"/>
          </w:tcPr>
          <w:p>
            <w:pPr>
              <w:jc w:val="both"/>
            </w:pPr>
            <w:r>
              <w:rPr>
                <w:b/>
                <w:sz w:val="21"/>
              </w:rPr>
              <w:t>7、存储保障</w:t>
            </w:r>
            <w:r>
              <w:rPr>
                <w:b/>
                <w:sz w:val="21"/>
              </w:rPr>
              <w:t>功能开发</w:t>
            </w:r>
          </w:p>
          <w:p>
            <w:pPr>
              <w:ind w:firstLine="420"/>
              <w:jc w:val="both"/>
            </w:pPr>
            <w:r>
              <w:rPr>
                <w:sz w:val="21"/>
              </w:rPr>
              <w:t>备份与恢复：提供用户备份信息登记和系统在线备份与恢复、制定备份策略的管理功能。</w:t>
            </w:r>
          </w:p>
          <w:p>
            <w:pPr>
              <w:jc w:val="both"/>
            </w:pPr>
            <w:r>
              <w:rPr>
                <w:sz w:val="21"/>
              </w:rPr>
              <w:t>回收站：作为一个临时区域，可以对误删的文件进行还原操作，尽可能减少误操作对日常生产工作带来的损失或者损耗。</w:t>
            </w:r>
          </w:p>
        </w:tc>
      </w:tr>
      <w:tr>
        <w:tc>
          <w:tcPr>
            <w:tcW w:type="dxa" w:w="2076"/>
          </w:tcPr>
          <w:p>
            <w:r>
              <w:rPr/>
              <w:t>说明</w:t>
            </w:r>
          </w:p>
        </w:tc>
        <w:tc>
          <w:tcPr>
            <w:tcW w:type="dxa" w:w="6229"/>
            <w:gridSpan w:val="2"/>
          </w:tcPr>
          <w:p>
            <w:pPr>
              <w:jc w:val="left"/>
            </w:pPr>
            <w:r>
              <w:rPr/>
              <w:t>打“★”号条款为实质性条款，若有任何一条负偏离或不满足则导致投标无效。</w:t>
            </w:r>
            <w:r>
              <w:br/>
            </w:r>
            <w:r>
              <w:rPr/>
              <w:t>打“▲”号条款为重要技术参数，若有部分“▲”条款未响应或不满足，将导致其响应性评审加重扣分，但不作为无效投标条款。</w:t>
            </w:r>
          </w:p>
        </w:tc>
      </w:tr>
    </w:tbl>
    <w:p>
      <w:r>
        <w:rPr>
          <w:b/>
        </w:rPr>
        <w:t>附表</w:t>
      </w:r>
      <w:r>
        <w:rPr>
          <w:b/>
        </w:rPr>
        <w:t>二</w:t>
      </w:r>
      <w:r>
        <w:rPr>
          <w:b/>
        </w:rPr>
        <w:t>：</w:t>
      </w:r>
      <w:r>
        <w:rPr>
          <w:b/>
        </w:rPr>
        <w:t>库房环境系统建设</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r>
              <w:rPr/>
              <w:t>参数性质</w:t>
            </w:r>
          </w:p>
        </w:tc>
        <w:tc>
          <w:tcPr>
            <w:tcW w:type="dxa" w:w="415"/>
          </w:tcPr>
          <w:p>
            <w:r>
              <w:rPr/>
              <w:t>序号</w:t>
            </w:r>
          </w:p>
        </w:tc>
        <w:tc>
          <w:tcPr>
            <w:tcW w:type="dxa" w:w="5814"/>
          </w:tcPr>
          <w:p>
            <w:r>
              <w:rPr/>
              <w:t>具体技术(参数)要求</w:t>
            </w:r>
          </w:p>
        </w:tc>
      </w:tr>
      <w:tr>
        <w:tc>
          <w:tcPr>
            <w:tcW w:type="dxa" w:w="2076"/>
          </w:tcPr>
          <w:p/>
        </w:tc>
        <w:tc>
          <w:tcPr>
            <w:tcW w:type="dxa" w:w="415"/>
          </w:tcPr>
          <w:p>
            <w:r>
              <w:rPr/>
              <w:t>1</w:t>
            </w:r>
          </w:p>
        </w:tc>
        <w:tc>
          <w:tcPr>
            <w:tcW w:type="dxa" w:w="5814"/>
          </w:tcPr>
          <w:p>
            <w:pPr>
              <w:ind w:firstLine="420"/>
              <w:jc w:val="left"/>
            </w:pPr>
            <w:r>
              <w:rPr>
                <w:sz w:val="21"/>
              </w:rPr>
              <w:t>一、项目概况</w:t>
            </w:r>
          </w:p>
          <w:p>
            <w:pPr>
              <w:ind w:firstLine="420"/>
              <w:jc w:val="left"/>
            </w:pPr>
            <w:r>
              <w:rPr>
                <w:sz w:val="21"/>
              </w:rPr>
              <w:t>根据《档案馆温湿度管理暂行规定》</w:t>
            </w:r>
            <w:r>
              <w:rPr>
                <w:sz w:val="21"/>
              </w:rPr>
              <w:t>(1985年11月23日国家档案局国档发〔1985〕42号通知印发)，库房温湿度需保持在规定值范围内。</w:t>
            </w:r>
          </w:p>
          <w:p>
            <w:pPr>
              <w:jc w:val="both"/>
            </w:pPr>
            <w:r>
              <w:rPr>
                <w:sz w:val="21"/>
              </w:rPr>
              <w:t>根据《档案馆建设标准》建标</w:t>
            </w:r>
            <w:r>
              <w:rPr>
                <w:sz w:val="21"/>
              </w:rPr>
              <w:t>103—2008第三十七条档案馆建筑应设置门禁、环境设备及防火门等安防系统。</w:t>
            </w:r>
          </w:p>
        </w:tc>
      </w:tr>
      <w:tr>
        <w:tc>
          <w:tcPr>
            <w:tcW w:type="dxa" w:w="2076"/>
          </w:tcPr>
          <w:p/>
        </w:tc>
        <w:tc>
          <w:tcPr>
            <w:tcW w:type="dxa" w:w="415"/>
          </w:tcPr>
          <w:p>
            <w:r>
              <w:rPr/>
              <w:t>2</w:t>
            </w:r>
          </w:p>
        </w:tc>
        <w:tc>
          <w:tcPr>
            <w:tcW w:type="dxa" w:w="5814"/>
          </w:tcPr>
          <w:p>
            <w:pPr>
              <w:jc w:val="left"/>
            </w:pPr>
            <w:r>
              <w:rPr>
                <w:b/>
                <w:sz w:val="21"/>
              </w:rPr>
              <w:t>二、</w:t>
            </w:r>
            <w:r>
              <w:rPr>
                <w:b/>
                <w:sz w:val="21"/>
              </w:rPr>
              <w:t>系统概述</w:t>
            </w:r>
          </w:p>
          <w:p>
            <w:pPr>
              <w:jc w:val="left"/>
            </w:pPr>
            <w:r>
              <w:rPr>
                <w:b/>
                <w:sz w:val="21"/>
              </w:rPr>
              <w:t>库房环境建设通过将库房密集架建设、温湿度监测设备、空气监测设备、除湿机、门禁设备、报警设备等各个具有完整功能的独立设备统筹为一体的建设。功能包括温湿度数据查看、空气质量设备数据查看、门禁设备管理、警情查看、消防系统管理等功能。</w:t>
            </w:r>
          </w:p>
          <w:p>
            <w:pPr>
              <w:jc w:val="left"/>
            </w:pPr>
            <w:r>
              <w:rPr>
                <w:b/>
                <w:sz w:val="21"/>
              </w:rPr>
              <w:t>2.1</w:t>
            </w:r>
            <w:r>
              <w:rPr>
                <w:b/>
                <w:sz w:val="21"/>
              </w:rPr>
              <w:t>功能要求</w:t>
            </w:r>
          </w:p>
          <w:p>
            <w:pPr>
              <w:ind w:firstLine="420"/>
              <w:jc w:val="both"/>
            </w:pPr>
            <w:r>
              <w:rPr>
                <w:sz w:val="21"/>
              </w:rPr>
              <w:t>（</w:t>
            </w:r>
            <w:r>
              <w:rPr>
                <w:sz w:val="21"/>
              </w:rPr>
              <w:t>1）温湿度设备管理</w:t>
            </w:r>
          </w:p>
          <w:p>
            <w:pPr>
              <w:ind w:firstLine="420"/>
              <w:jc w:val="both"/>
            </w:pPr>
            <w:r>
              <w:rPr>
                <w:sz w:val="21"/>
              </w:rPr>
              <w:t>通过在档案库房各个区域布置温湿度传感器，可实时监测档案室内的温湿度情况，以确保档案库房内保持科学合理的温湿度范围，以有利于档案资料的长期、完好保存，以发挥档案资料的最大作用。</w:t>
            </w:r>
          </w:p>
          <w:p>
            <w:pPr>
              <w:ind w:firstLine="420"/>
              <w:jc w:val="both"/>
            </w:pPr>
            <w:r>
              <w:rPr>
                <w:sz w:val="21"/>
              </w:rPr>
              <w:t>可点击库房内温湿度监测设备，实时查询档案库房温湿度数据。</w:t>
            </w:r>
          </w:p>
          <w:p>
            <w:pPr>
              <w:ind w:firstLine="420"/>
              <w:jc w:val="both"/>
            </w:pPr>
            <w:r>
              <w:rPr>
                <w:sz w:val="21"/>
              </w:rPr>
              <w:t>（</w:t>
            </w:r>
            <w:r>
              <w:rPr>
                <w:sz w:val="21"/>
              </w:rPr>
              <w:t>2）空气质量设备数据查看</w:t>
            </w:r>
          </w:p>
          <w:p>
            <w:pPr>
              <w:ind w:firstLine="420"/>
              <w:jc w:val="both"/>
            </w:pPr>
            <w:r>
              <w:rPr>
                <w:sz w:val="21"/>
              </w:rPr>
              <w:t>档案的保存对库房内的空气质量成分要求也是相当高的，过量的有害气体或者粉尘污染也会造成库房内档案工作人员的身体造成损害。因此在库房的适当位置安装相关的空气质量检测器实时监测室内的空气成分状况相对比较重要。</w:t>
            </w:r>
          </w:p>
          <w:p>
            <w:pPr>
              <w:ind w:firstLine="420"/>
            </w:pPr>
            <w:r>
              <w:rPr>
                <w:sz w:val="21"/>
              </w:rPr>
              <w:t>可点击库房内空气质量监测设备，实时查询档案库房空气质量设备工作状况，支持实时显示每个档案库房空气质量监测器所检测到的</w:t>
            </w:r>
            <w:r>
              <w:rPr>
                <w:sz w:val="21"/>
              </w:rPr>
              <w:t>P㎡.5、PM10等相关数据。</w:t>
            </w:r>
          </w:p>
          <w:p>
            <w:pPr>
              <w:ind w:firstLine="420"/>
            </w:pPr>
            <w:r>
              <w:rPr>
                <w:sz w:val="21"/>
              </w:rPr>
              <w:t>（</w:t>
            </w:r>
            <w:r>
              <w:rPr>
                <w:sz w:val="21"/>
              </w:rPr>
              <w:t>3</w:t>
            </w:r>
            <w:r>
              <w:rPr>
                <w:sz w:val="21"/>
              </w:rPr>
              <w:t>）门禁设备</w:t>
            </w:r>
          </w:p>
          <w:p>
            <w:pPr>
              <w:ind w:firstLine="420"/>
              <w:jc w:val="both"/>
            </w:pPr>
            <w:r>
              <w:rPr>
                <w:sz w:val="21"/>
              </w:rPr>
              <w:t>为了</w:t>
            </w:r>
            <w:r>
              <w:rPr>
                <w:sz w:val="21"/>
              </w:rPr>
              <w:t>有效防止</w:t>
            </w:r>
            <w:r>
              <w:rPr>
                <w:sz w:val="21"/>
              </w:rPr>
              <w:t>未经授权或</w:t>
            </w:r>
            <w:r>
              <w:rPr>
                <w:sz w:val="21"/>
              </w:rPr>
              <w:t>外来</w:t>
            </w:r>
            <w:r>
              <w:rPr>
                <w:sz w:val="21"/>
              </w:rPr>
              <w:t>人员</w:t>
            </w:r>
            <w:r>
              <w:rPr>
                <w:sz w:val="21"/>
              </w:rPr>
              <w:t>进入</w:t>
            </w:r>
            <w:r>
              <w:rPr>
                <w:sz w:val="21"/>
              </w:rPr>
              <w:t>档案库房，保障实体档案的安全，需</w:t>
            </w:r>
            <w:r>
              <w:rPr>
                <w:sz w:val="21"/>
              </w:rPr>
              <w:t>对</w:t>
            </w:r>
            <w:r>
              <w:rPr>
                <w:sz w:val="21"/>
              </w:rPr>
              <w:t>档案库房出入口配备门禁设备，实现</w:t>
            </w:r>
            <w:r>
              <w:rPr>
                <w:sz w:val="21"/>
              </w:rPr>
              <w:t>通道实时监控功能。</w:t>
            </w:r>
          </w:p>
          <w:p>
            <w:pPr>
              <w:jc w:val="both"/>
            </w:pPr>
            <w:r>
              <w:rPr>
                <w:sz w:val="21"/>
              </w:rPr>
              <w:t xml:space="preserve">    （</w:t>
            </w:r>
            <w:r>
              <w:rPr>
                <w:sz w:val="21"/>
              </w:rPr>
              <w:t>4</w:t>
            </w:r>
            <w:r>
              <w:rPr>
                <w:sz w:val="21"/>
              </w:rPr>
              <w:t>）消防系统管理</w:t>
            </w:r>
          </w:p>
          <w:p>
            <w:pPr>
              <w:ind w:firstLine="420"/>
              <w:jc w:val="both"/>
            </w:pPr>
            <w:r>
              <w:rPr>
                <w:sz w:val="21"/>
              </w:rPr>
              <w:t>项目采用柜式七氟丙烷自动灭火系统，</w:t>
            </w:r>
            <w:r>
              <w:rPr>
                <w:sz w:val="21"/>
              </w:rPr>
              <w:t>灭火装置</w:t>
            </w:r>
            <w:r>
              <w:rPr>
                <w:sz w:val="21"/>
              </w:rPr>
              <w:t>须</w:t>
            </w:r>
            <w:r>
              <w:rPr>
                <w:sz w:val="21"/>
              </w:rPr>
              <w:t>具有自动、手动</w:t>
            </w:r>
            <w:r>
              <w:rPr>
                <w:sz w:val="21"/>
              </w:rPr>
              <w:t>两</w:t>
            </w:r>
            <w:r>
              <w:rPr>
                <w:sz w:val="21"/>
              </w:rPr>
              <w:t>种方式，火灾报警控制器可安装于操作室</w:t>
            </w:r>
            <w:r>
              <w:rPr>
                <w:sz w:val="21"/>
              </w:rPr>
              <w:t>外</w:t>
            </w:r>
            <w:r>
              <w:rPr>
                <w:sz w:val="21"/>
              </w:rPr>
              <w:t>，当气体灭火控制器接收到任何一个防护区内两个独立火灾报警信号时，延时</w:t>
            </w:r>
            <w:r>
              <w:rPr>
                <w:sz w:val="21"/>
              </w:rPr>
              <w:t>30秒，控制器输出24伏直流电，使电磁阀（电爆管）动作，并启动相应防护区内预制灭火装置。防护区外门灯显亮，避免人员误入，同时控制器接收压力讯号器反馈信号，控制器面板喷放指示灯亮。</w:t>
            </w:r>
          </w:p>
          <w:p>
            <w:pPr>
              <w:ind w:firstLine="420"/>
              <w:jc w:val="both"/>
            </w:pPr>
            <w:r>
              <w:rPr>
                <w:sz w:val="21"/>
              </w:rPr>
              <w:t>手动控制状态下，当防护区发生火警时，控制器只发出一个独立报警信号时，不能输出动作信号，由值班室人员确认火警后，按下相应防护区外气体手动放气按钮，即可启动该装置，喷放七氟丙烷灭火剂灭火。</w:t>
            </w:r>
          </w:p>
          <w:p>
            <w:pPr>
              <w:jc w:val="both"/>
            </w:pPr>
            <w:r>
              <w:rPr>
                <w:sz w:val="21"/>
              </w:rPr>
              <w:t>机械应急操作方式，当某一防护区发生火警时，自动和手动控制都失去功能，值班人员可通过预制灭火装置内的安全梢按下启动，即可启动该装置，喷放七氟丙烷灭火剂灭火。</w:t>
            </w:r>
          </w:p>
        </w:tc>
      </w:tr>
      <w:tr>
        <w:tc>
          <w:tcPr>
            <w:tcW w:type="dxa" w:w="2076"/>
          </w:tcPr>
          <w:p/>
        </w:tc>
        <w:tc>
          <w:tcPr>
            <w:tcW w:type="dxa" w:w="415"/>
          </w:tcPr>
          <w:p>
            <w:r>
              <w:rPr/>
              <w:t>3</w:t>
            </w:r>
          </w:p>
        </w:tc>
        <w:tc>
          <w:tcPr>
            <w:tcW w:type="dxa" w:w="5814"/>
          </w:tcPr>
          <w:p>
            <w:pPr>
              <w:jc w:val="both"/>
            </w:pPr>
            <w:r>
              <w:rPr>
                <w:sz w:val="21"/>
              </w:rPr>
              <w:t>三、</w:t>
            </w:r>
            <w:r>
              <w:rPr>
                <w:sz w:val="21"/>
              </w:rPr>
              <w:t>系统配套设备采购清单</w:t>
            </w:r>
          </w:p>
          <w:tbl>
            <w:tblPr>
              <w:tblBorders>
                <w:top w:val="none" w:color="000000" w:sz="4"/>
                <w:left w:val="none" w:color="000000" w:sz="4"/>
                <w:bottom w:val="none" w:color="000000" w:sz="4"/>
                <w:right w:val="none" w:color="000000" w:sz="4"/>
                <w:insideH w:val="none"/>
                <w:insideV w:val="none"/>
              </w:tblBorders>
            </w:tblPr>
            <w:tblGrid>
              <w:gridCol w:w="513"/>
              <w:gridCol w:w="1207"/>
              <w:gridCol w:w="2867"/>
              <w:gridCol w:w="483"/>
              <w:gridCol w:w="528"/>
            </w:tblGrid>
            <w:tr>
              <w:tc>
                <w:tcPr>
                  <w:tcW w:type="dxa" w:w="513"/>
                  <w:tcBorders>
                    <w:top w:val="single" w:color="000000" w:sz="4"/>
                    <w:left w:val="single" w:color="000000" w:sz="4"/>
                    <w:bottom w:val="single" w:color="000000" w:sz="4"/>
                    <w:right w:val="single" w:color="000000" w:sz="4"/>
                  </w:tcBorders>
                  <w:vAlign w:val="top"/>
                </w:tcPr>
                <w:p>
                  <w:pPr>
                    <w:jc w:val="center"/>
                  </w:pPr>
                  <w:r>
                    <w:rPr>
                      <w:b/>
                      <w:sz w:val="21"/>
                    </w:rPr>
                    <w:t>序号</w:t>
                  </w:r>
                </w:p>
              </w:tc>
              <w:tc>
                <w:tcPr>
                  <w:tcW w:type="dxa" w:w="1207"/>
                  <w:tcBorders>
                    <w:top w:val="single" w:color="000000" w:sz="4"/>
                    <w:left w:val="none" w:color="000000" w:sz="4"/>
                    <w:bottom w:val="single" w:color="000000" w:sz="4"/>
                    <w:right w:val="single" w:color="000000" w:sz="4"/>
                  </w:tcBorders>
                  <w:vAlign w:val="top"/>
                </w:tcPr>
                <w:p>
                  <w:pPr>
                    <w:jc w:val="center"/>
                  </w:pPr>
                  <w:r>
                    <w:rPr>
                      <w:b/>
                      <w:sz w:val="21"/>
                    </w:rPr>
                    <w:t>设备名称</w:t>
                  </w:r>
                </w:p>
              </w:tc>
              <w:tc>
                <w:tcPr>
                  <w:tcW w:type="dxa" w:w="2867"/>
                  <w:tcBorders>
                    <w:top w:val="single" w:color="000000" w:sz="4"/>
                    <w:left w:val="none" w:color="000000" w:sz="4"/>
                    <w:bottom w:val="single" w:color="000000" w:sz="4"/>
                    <w:right w:val="single" w:color="000000" w:sz="4"/>
                  </w:tcBorders>
                  <w:vAlign w:val="top"/>
                </w:tcPr>
                <w:p>
                  <w:pPr>
                    <w:jc w:val="left"/>
                  </w:pPr>
                  <w:r>
                    <w:rPr>
                      <w:b/>
                      <w:sz w:val="21"/>
                    </w:rPr>
                    <w:t>规格</w:t>
                  </w:r>
                  <w:r>
                    <w:rPr>
                      <w:b/>
                      <w:sz w:val="21"/>
                    </w:rPr>
                    <w:t>/</w:t>
                  </w:r>
                  <w:r>
                    <w:rPr>
                      <w:b/>
                      <w:sz w:val="21"/>
                    </w:rPr>
                    <w:t>参数要求</w:t>
                  </w:r>
                </w:p>
              </w:tc>
              <w:tc>
                <w:tcPr>
                  <w:tcW w:type="dxa" w:w="483"/>
                  <w:tcBorders>
                    <w:top w:val="single" w:color="000000" w:sz="4"/>
                    <w:left w:val="none" w:color="000000" w:sz="4"/>
                    <w:bottom w:val="single" w:color="000000" w:sz="4"/>
                    <w:right w:val="single" w:color="000000" w:sz="4"/>
                  </w:tcBorders>
                  <w:vAlign w:val="top"/>
                </w:tcPr>
                <w:p>
                  <w:pPr>
                    <w:jc w:val="center"/>
                  </w:pPr>
                  <w:r>
                    <w:rPr>
                      <w:b/>
                      <w:sz w:val="21"/>
                    </w:rPr>
                    <w:t>数量</w:t>
                  </w:r>
                </w:p>
              </w:tc>
              <w:tc>
                <w:tcPr>
                  <w:tcW w:type="dxa" w:w="528"/>
                  <w:tcBorders>
                    <w:top w:val="single" w:color="000000" w:sz="4"/>
                    <w:left w:val="none" w:color="000000" w:sz="4"/>
                    <w:bottom w:val="single" w:color="000000" w:sz="4"/>
                    <w:right w:val="single" w:color="000000" w:sz="4"/>
                  </w:tcBorders>
                  <w:vAlign w:val="top"/>
                </w:tcPr>
                <w:p>
                  <w:pPr>
                    <w:jc w:val="center"/>
                  </w:pPr>
                  <w:r>
                    <w:rPr>
                      <w:b/>
                      <w:sz w:val="21"/>
                    </w:rPr>
                    <w:t>单位</w:t>
                  </w:r>
                </w:p>
              </w:tc>
            </w:tr>
            <w:tr>
              <w:tc>
                <w:tcPr>
                  <w:tcW w:type="dxa" w:w="513"/>
                  <w:tcBorders>
                    <w:top w:val="none" w:color="000000" w:sz="4"/>
                    <w:left w:val="single" w:color="000000" w:sz="4"/>
                    <w:bottom w:val="single" w:color="000000" w:sz="4"/>
                    <w:right w:val="single" w:color="000000" w:sz="4"/>
                  </w:tcBorders>
                  <w:vAlign w:val="top"/>
                </w:tcPr>
                <w:p>
                  <w:pPr>
                    <w:jc w:val="both"/>
                  </w:pPr>
                  <w:r>
                    <w:rPr>
                      <w:sz w:val="21"/>
                    </w:rPr>
                    <w:t>1</w:t>
                  </w:r>
                </w:p>
              </w:tc>
              <w:tc>
                <w:tcPr>
                  <w:tcW w:type="dxa" w:w="1207"/>
                  <w:tcBorders>
                    <w:top w:val="none" w:color="000000" w:sz="4"/>
                    <w:left w:val="none" w:color="000000" w:sz="4"/>
                    <w:bottom w:val="single" w:color="000000" w:sz="4"/>
                    <w:right w:val="single" w:color="000000" w:sz="4"/>
                  </w:tcBorders>
                  <w:vAlign w:val="top"/>
                </w:tcPr>
                <w:p>
                  <w:pPr>
                    <w:jc w:val="left"/>
                  </w:pPr>
                  <w:r>
                    <w:rPr>
                      <w:sz w:val="21"/>
                    </w:rPr>
                    <w:t>环境监控主机</w:t>
                  </w:r>
                </w:p>
              </w:tc>
              <w:tc>
                <w:tcPr>
                  <w:tcW w:type="dxa" w:w="2867"/>
                  <w:tcBorders>
                    <w:top w:val="none" w:color="000000" w:sz="4"/>
                    <w:left w:val="none" w:color="000000" w:sz="4"/>
                    <w:bottom w:val="single" w:color="000000" w:sz="4"/>
                    <w:right w:val="single" w:color="000000" w:sz="4"/>
                  </w:tcBorders>
                  <w:vAlign w:val="top"/>
                </w:tcPr>
                <w:p>
                  <w:pPr>
                    <w:jc w:val="left"/>
                  </w:pPr>
                  <w:r>
                    <w:rPr>
                      <w:sz w:val="21"/>
                    </w:rPr>
                    <w:t>供电范围</w:t>
                  </w:r>
                  <w:r>
                    <w:rPr>
                      <w:sz w:val="21"/>
                    </w:rPr>
                    <w:t>:DC 10~30V</w:t>
                  </w:r>
                </w:p>
                <w:p>
                  <w:pPr>
                    <w:jc w:val="left"/>
                  </w:pPr>
                  <w:r>
                    <w:rPr>
                      <w:sz w:val="21"/>
                    </w:rPr>
                    <w:t>工作温度</w:t>
                  </w:r>
                  <w:r>
                    <w:rPr>
                      <w:sz w:val="21"/>
                    </w:rPr>
                    <w:t>:-20~+60℃</w:t>
                  </w:r>
                  <w:r>
                    <w:rPr>
                      <w:sz w:val="21"/>
                    </w:rPr>
                    <w:t>，</w:t>
                  </w:r>
                  <w:r>
                    <w:rPr>
                      <w:sz w:val="21"/>
                    </w:rPr>
                    <w:t>0%~80%RH</w:t>
                  </w:r>
                  <w:r>
                    <w:rPr>
                      <w:sz w:val="21"/>
                    </w:rPr>
                    <w:t>无冷凝通信接口</w:t>
                  </w:r>
                  <w:r>
                    <w:rPr>
                      <w:sz w:val="21"/>
                    </w:rPr>
                    <w:t>:RJ45</w:t>
                  </w:r>
                  <w:r>
                    <w:rPr>
                      <w:sz w:val="21"/>
                    </w:rPr>
                    <w:t>网口主</w:t>
                  </w:r>
                  <w:r>
                    <w:rPr>
                      <w:sz w:val="21"/>
                    </w:rPr>
                    <w:t>RS485</w:t>
                  </w:r>
                  <w:r>
                    <w:rPr>
                      <w:sz w:val="21"/>
                    </w:rPr>
                    <w:t>接口</w:t>
                  </w:r>
                  <w:r>
                    <w:rPr>
                      <w:sz w:val="21"/>
                    </w:rPr>
                    <w:t>:</w:t>
                  </w:r>
                  <w:r>
                    <w:rPr>
                      <w:sz w:val="21"/>
                    </w:rPr>
                    <w:t>通过</w:t>
                  </w:r>
                  <w:r>
                    <w:rPr>
                      <w:sz w:val="21"/>
                    </w:rPr>
                    <w:t>RS485</w:t>
                  </w:r>
                  <w:r>
                    <w:rPr>
                      <w:sz w:val="21"/>
                    </w:rPr>
                    <w:t>上传数据数据上传间隔</w:t>
                  </w:r>
                  <w:r>
                    <w:rPr>
                      <w:sz w:val="21"/>
                    </w:rPr>
                    <w:t>:1S~10000S</w:t>
                  </w:r>
                  <w:r>
                    <w:rPr>
                      <w:sz w:val="21"/>
                    </w:rPr>
                    <w:t>数据上传间隔</w:t>
                  </w:r>
                  <w:r>
                    <w:rPr>
                      <w:sz w:val="21"/>
                    </w:rPr>
                    <w:t>:1S~10000S</w:t>
                  </w:r>
                  <w:r>
                    <w:rPr>
                      <w:sz w:val="21"/>
                    </w:rPr>
                    <w:t>内置存储，最多可存储</w:t>
                  </w:r>
                  <w:r>
                    <w:rPr>
                      <w:sz w:val="21"/>
                    </w:rPr>
                    <w:t>52</w:t>
                  </w:r>
                  <w:r>
                    <w:rPr>
                      <w:sz w:val="21"/>
                    </w:rPr>
                    <w:t>万条</w:t>
                  </w:r>
                </w:p>
              </w:tc>
              <w:tc>
                <w:tcPr>
                  <w:tcW w:type="dxa" w:w="483"/>
                  <w:tcBorders>
                    <w:top w:val="none" w:color="000000" w:sz="4"/>
                    <w:left w:val="none" w:color="000000" w:sz="4"/>
                    <w:bottom w:val="single" w:color="000000" w:sz="4"/>
                    <w:right w:val="single" w:color="000000" w:sz="4"/>
                  </w:tcBorders>
                  <w:vAlign w:val="top"/>
                </w:tcPr>
                <w:p>
                  <w:pPr>
                    <w:jc w:val="center"/>
                  </w:pPr>
                  <w:r>
                    <w:rPr>
                      <w:sz w:val="21"/>
                    </w:rPr>
                    <w:t>1</w:t>
                  </w:r>
                </w:p>
              </w:tc>
              <w:tc>
                <w:tcPr>
                  <w:tcW w:type="dxa" w:w="528"/>
                  <w:tcBorders>
                    <w:top w:val="none" w:color="000000" w:sz="4"/>
                    <w:left w:val="none" w:color="000000" w:sz="4"/>
                    <w:bottom w:val="single" w:color="000000" w:sz="4"/>
                    <w:right w:val="single" w:color="000000" w:sz="4"/>
                  </w:tcBorders>
                  <w:vAlign w:val="top"/>
                </w:tcPr>
                <w:p>
                  <w:pPr>
                    <w:jc w:val="center"/>
                  </w:pPr>
                  <w:r>
                    <w:rPr>
                      <w:sz w:val="21"/>
                    </w:rPr>
                    <w:t>台</w:t>
                  </w:r>
                </w:p>
              </w:tc>
            </w:tr>
            <w:tr>
              <w:tc>
                <w:tcPr>
                  <w:tcW w:type="dxa" w:w="513"/>
                  <w:tcBorders>
                    <w:top w:val="none" w:color="000000" w:sz="4"/>
                    <w:left w:val="single" w:color="000000" w:sz="4"/>
                    <w:bottom w:val="single" w:color="000000" w:sz="4"/>
                    <w:right w:val="single" w:color="000000" w:sz="4"/>
                  </w:tcBorders>
                  <w:vAlign w:val="top"/>
                </w:tcPr>
                <w:p>
                  <w:pPr>
                    <w:jc w:val="both"/>
                  </w:pPr>
                  <w:r>
                    <w:rPr>
                      <w:sz w:val="21"/>
                    </w:rPr>
                    <w:t>2</w:t>
                  </w:r>
                </w:p>
              </w:tc>
              <w:tc>
                <w:tcPr>
                  <w:tcW w:type="dxa" w:w="1207"/>
                  <w:tcBorders>
                    <w:top w:val="none" w:color="000000" w:sz="4"/>
                    <w:left w:val="none" w:color="000000" w:sz="4"/>
                    <w:bottom w:val="single" w:color="000000" w:sz="4"/>
                    <w:right w:val="single" w:color="000000" w:sz="4"/>
                  </w:tcBorders>
                  <w:vAlign w:val="top"/>
                </w:tcPr>
                <w:p>
                  <w:pPr>
                    <w:jc w:val="left"/>
                  </w:pPr>
                  <w:r>
                    <w:rPr>
                      <w:sz w:val="21"/>
                    </w:rPr>
                    <w:t>空气质量监测器</w:t>
                  </w:r>
                </w:p>
              </w:tc>
              <w:tc>
                <w:tcPr>
                  <w:tcW w:type="dxa" w:w="2867"/>
                  <w:tcBorders>
                    <w:top w:val="none" w:color="000000" w:sz="4"/>
                    <w:left w:val="none" w:color="000000" w:sz="4"/>
                    <w:bottom w:val="single" w:color="000000" w:sz="4"/>
                    <w:right w:val="single" w:color="000000" w:sz="4"/>
                  </w:tcBorders>
                  <w:vAlign w:val="top"/>
                </w:tcPr>
                <w:p>
                  <w:pPr>
                    <w:jc w:val="left"/>
                  </w:pPr>
                  <w:r>
                    <w:rPr>
                      <w:sz w:val="21"/>
                    </w:rPr>
                    <w:t>1.P</w:t>
                  </w:r>
                  <w:r>
                    <w:rPr>
                      <w:sz w:val="21"/>
                    </w:rPr>
                    <w:t>㎡</w:t>
                  </w:r>
                  <w:r>
                    <w:rPr>
                      <w:sz w:val="21"/>
                    </w:rPr>
                    <w:t>.5</w:t>
                  </w:r>
                  <w:r>
                    <w:rPr>
                      <w:sz w:val="21"/>
                    </w:rPr>
                    <w:t>测量范围：</w:t>
                  </w:r>
                  <w:r>
                    <w:rPr>
                      <w:sz w:val="21"/>
                    </w:rPr>
                    <w:t>0-1000ug/m³</w:t>
                  </w:r>
                  <w:r>
                    <w:rPr>
                      <w:sz w:val="21"/>
                    </w:rPr>
                    <w:t>，</w:t>
                  </w:r>
                </w:p>
                <w:p>
                  <w:pPr>
                    <w:jc w:val="left"/>
                  </w:pPr>
                  <w:r>
                    <w:rPr>
                      <w:sz w:val="21"/>
                    </w:rPr>
                    <w:t>2.PM10</w:t>
                  </w:r>
                  <w:r>
                    <w:rPr>
                      <w:sz w:val="21"/>
                    </w:rPr>
                    <w:t>测量范围：</w:t>
                  </w:r>
                  <w:r>
                    <w:rPr>
                      <w:sz w:val="21"/>
                    </w:rPr>
                    <w:t>0-1000ug/</w:t>
                  </w:r>
                </w:p>
              </w:tc>
              <w:tc>
                <w:tcPr>
                  <w:tcW w:type="dxa" w:w="483"/>
                  <w:tcBorders>
                    <w:top w:val="none" w:color="000000" w:sz="4"/>
                    <w:left w:val="none" w:color="000000" w:sz="4"/>
                    <w:bottom w:val="single" w:color="000000" w:sz="4"/>
                    <w:right w:val="single" w:color="000000" w:sz="4"/>
                  </w:tcBorders>
                  <w:vAlign w:val="top"/>
                </w:tcPr>
                <w:p>
                  <w:pPr>
                    <w:jc w:val="center"/>
                  </w:pPr>
                  <w:r>
                    <w:rPr>
                      <w:sz w:val="21"/>
                    </w:rPr>
                    <w:t>2</w:t>
                  </w:r>
                </w:p>
              </w:tc>
              <w:tc>
                <w:tcPr>
                  <w:tcW w:type="dxa" w:w="528"/>
                  <w:tcBorders>
                    <w:top w:val="none" w:color="000000" w:sz="4"/>
                    <w:left w:val="none" w:color="000000" w:sz="4"/>
                    <w:bottom w:val="single" w:color="000000" w:sz="4"/>
                    <w:right w:val="single" w:color="000000" w:sz="4"/>
                  </w:tcBorders>
                  <w:vAlign w:val="top"/>
                </w:tcPr>
                <w:p>
                  <w:pPr>
                    <w:jc w:val="center"/>
                  </w:pPr>
                  <w:r>
                    <w:rPr>
                      <w:sz w:val="21"/>
                    </w:rPr>
                    <w:t>个</w:t>
                  </w:r>
                </w:p>
              </w:tc>
            </w:tr>
            <w:tr>
              <w:tc>
                <w:tcPr>
                  <w:tcW w:type="dxa" w:w="513"/>
                  <w:tcBorders>
                    <w:top w:val="none" w:color="000000" w:sz="4"/>
                    <w:left w:val="single" w:color="000000" w:sz="4"/>
                    <w:bottom w:val="single" w:color="000000" w:sz="4"/>
                    <w:right w:val="single" w:color="000000" w:sz="4"/>
                  </w:tcBorders>
                  <w:vAlign w:val="top"/>
                </w:tcPr>
                <w:p>
                  <w:pPr>
                    <w:jc w:val="both"/>
                  </w:pPr>
                  <w:r>
                    <w:rPr>
                      <w:sz w:val="21"/>
                    </w:rPr>
                    <w:t>3</w:t>
                  </w:r>
                </w:p>
              </w:tc>
              <w:tc>
                <w:tcPr>
                  <w:tcW w:type="dxa" w:w="1207"/>
                  <w:tcBorders>
                    <w:top w:val="none" w:color="000000" w:sz="4"/>
                    <w:left w:val="none" w:color="000000" w:sz="4"/>
                    <w:bottom w:val="single" w:color="000000" w:sz="4"/>
                    <w:right w:val="single" w:color="000000" w:sz="4"/>
                  </w:tcBorders>
                  <w:vAlign w:val="top"/>
                </w:tcPr>
                <w:p>
                  <w:pPr>
                    <w:jc w:val="left"/>
                  </w:pPr>
                  <w:r>
                    <w:rPr>
                      <w:sz w:val="21"/>
                    </w:rPr>
                    <w:t>温湿度监测器</w:t>
                  </w:r>
                </w:p>
              </w:tc>
              <w:tc>
                <w:tcPr>
                  <w:tcW w:type="dxa" w:w="2867"/>
                  <w:tcBorders>
                    <w:top w:val="none" w:color="000000" w:sz="4"/>
                    <w:left w:val="none" w:color="000000" w:sz="4"/>
                    <w:bottom w:val="single" w:color="000000" w:sz="4"/>
                    <w:right w:val="single" w:color="000000" w:sz="4"/>
                  </w:tcBorders>
                  <w:vAlign w:val="top"/>
                </w:tcPr>
                <w:p>
                  <w:pPr>
                    <w:jc w:val="left"/>
                  </w:pPr>
                  <w:r>
                    <w:rPr>
                      <w:sz w:val="21"/>
                    </w:rPr>
                    <w:t>有效面积</w:t>
                  </w:r>
                  <w:r>
                    <w:rPr>
                      <w:sz w:val="21"/>
                    </w:rPr>
                    <w:t>10-20</w:t>
                  </w:r>
                  <w:r>
                    <w:rPr>
                      <w:sz w:val="21"/>
                    </w:rPr>
                    <w:t>㎡；</w:t>
                  </w:r>
                </w:p>
                <w:p>
                  <w:pPr>
                    <w:jc w:val="left"/>
                  </w:pPr>
                  <w:r>
                    <w:rPr>
                      <w:sz w:val="21"/>
                    </w:rPr>
                    <w:t>测试范围：温度测量</w:t>
                  </w:r>
                  <w:r>
                    <w:rPr>
                      <w:sz w:val="21"/>
                    </w:rPr>
                    <w:t>-20℃</w:t>
                  </w:r>
                  <w:r>
                    <w:rPr>
                      <w:sz w:val="21"/>
                    </w:rPr>
                    <w:t>～</w:t>
                  </w:r>
                  <w:r>
                    <w:rPr>
                      <w:sz w:val="21"/>
                    </w:rPr>
                    <w:t>70℃</w:t>
                  </w:r>
                  <w:r>
                    <w:rPr>
                      <w:sz w:val="21"/>
                    </w:rPr>
                    <w:t>；</w:t>
                  </w:r>
                </w:p>
                <w:p>
                  <w:pPr>
                    <w:jc w:val="left"/>
                  </w:pPr>
                  <w:r>
                    <w:rPr>
                      <w:sz w:val="21"/>
                    </w:rPr>
                    <w:t>湿度测量</w:t>
                  </w:r>
                  <w:r>
                    <w:rPr>
                      <w:sz w:val="21"/>
                    </w:rPr>
                    <w:t>0</w:t>
                  </w:r>
                  <w:r>
                    <w:rPr>
                      <w:sz w:val="21"/>
                    </w:rPr>
                    <w:t>～</w:t>
                  </w:r>
                  <w:r>
                    <w:rPr>
                      <w:sz w:val="21"/>
                    </w:rPr>
                    <w:t xml:space="preserve">100%RH  </w:t>
                  </w:r>
                </w:p>
                <w:p>
                  <w:pPr>
                    <w:jc w:val="left"/>
                  </w:pPr>
                  <w:r>
                    <w:rPr>
                      <w:sz w:val="21"/>
                    </w:rPr>
                    <w:t>温度精度误差</w:t>
                  </w:r>
                  <w:r>
                    <w:rPr>
                      <w:sz w:val="21"/>
                    </w:rPr>
                    <w:t>&lt;±0.5℃</w:t>
                  </w:r>
                  <w:r>
                    <w:rPr>
                      <w:sz w:val="21"/>
                    </w:rPr>
                    <w:t>，在</w:t>
                  </w:r>
                  <w:r>
                    <w:rPr>
                      <w:sz w:val="21"/>
                    </w:rPr>
                    <w:t>25℃</w:t>
                  </w:r>
                  <w:r>
                    <w:rPr>
                      <w:sz w:val="21"/>
                    </w:rPr>
                    <w:t>时测试。</w:t>
                  </w:r>
                </w:p>
                <w:p>
                  <w:pPr>
                    <w:jc w:val="left"/>
                  </w:pPr>
                  <w:r>
                    <w:rPr>
                      <w:sz w:val="21"/>
                    </w:rPr>
                    <w:t>湿度精度误差</w:t>
                  </w:r>
                  <w:r>
                    <w:rPr>
                      <w:sz w:val="21"/>
                    </w:rPr>
                    <w:t>&lt;±5%RH</w:t>
                  </w:r>
                  <w:r>
                    <w:rPr>
                      <w:sz w:val="21"/>
                    </w:rPr>
                    <w:t>，在</w:t>
                  </w:r>
                  <w:r>
                    <w:rPr>
                      <w:sz w:val="21"/>
                    </w:rPr>
                    <w:t>25℃</w:t>
                  </w:r>
                  <w:r>
                    <w:rPr>
                      <w:sz w:val="21"/>
                    </w:rPr>
                    <w:t>时测试。</w:t>
                  </w:r>
                </w:p>
                <w:p>
                  <w:pPr>
                    <w:jc w:val="left"/>
                  </w:pPr>
                  <w:r>
                    <w:rPr>
                      <w:sz w:val="21"/>
                    </w:rPr>
                    <w:t>电源要求</w:t>
                  </w:r>
                  <w:r>
                    <w:rPr>
                      <w:sz w:val="21"/>
                    </w:rPr>
                    <w:t xml:space="preserve">12VDC        </w:t>
                  </w:r>
                </w:p>
              </w:tc>
              <w:tc>
                <w:tcPr>
                  <w:tcW w:type="dxa" w:w="483"/>
                  <w:tcBorders>
                    <w:top w:val="none" w:color="000000" w:sz="4"/>
                    <w:left w:val="none" w:color="000000" w:sz="4"/>
                    <w:bottom w:val="single" w:color="000000" w:sz="4"/>
                    <w:right w:val="single" w:color="000000" w:sz="4"/>
                  </w:tcBorders>
                  <w:vAlign w:val="top"/>
                </w:tcPr>
                <w:p>
                  <w:pPr>
                    <w:jc w:val="center"/>
                  </w:pPr>
                  <w:r>
                    <w:rPr>
                      <w:sz w:val="21"/>
                    </w:rPr>
                    <w:t>10</w:t>
                  </w:r>
                </w:p>
              </w:tc>
              <w:tc>
                <w:tcPr>
                  <w:tcW w:type="dxa" w:w="528"/>
                  <w:tcBorders>
                    <w:top w:val="none" w:color="000000" w:sz="4"/>
                    <w:left w:val="none" w:color="000000" w:sz="4"/>
                    <w:bottom w:val="single" w:color="000000" w:sz="4"/>
                    <w:right w:val="single" w:color="000000" w:sz="4"/>
                  </w:tcBorders>
                  <w:vAlign w:val="top"/>
                </w:tcPr>
                <w:p>
                  <w:pPr>
                    <w:jc w:val="center"/>
                  </w:pPr>
                  <w:r>
                    <w:rPr>
                      <w:sz w:val="21"/>
                    </w:rPr>
                    <w:t>个</w:t>
                  </w:r>
                </w:p>
              </w:tc>
            </w:tr>
            <w:tr>
              <w:tc>
                <w:tcPr>
                  <w:tcW w:type="dxa" w:w="513"/>
                  <w:tcBorders>
                    <w:top w:val="none" w:color="000000" w:sz="4"/>
                    <w:left w:val="single" w:color="000000" w:sz="4"/>
                    <w:bottom w:val="single" w:color="000000" w:sz="4"/>
                    <w:right w:val="single" w:color="000000" w:sz="4"/>
                  </w:tcBorders>
                  <w:vAlign w:val="top"/>
                </w:tcPr>
                <w:p>
                  <w:pPr>
                    <w:jc w:val="both"/>
                  </w:pPr>
                  <w:r>
                    <w:rPr>
                      <w:sz w:val="21"/>
                    </w:rPr>
                    <w:t>4</w:t>
                  </w:r>
                </w:p>
              </w:tc>
              <w:tc>
                <w:tcPr>
                  <w:tcW w:type="dxa" w:w="1207"/>
                  <w:tcBorders>
                    <w:top w:val="none" w:color="000000" w:sz="4"/>
                    <w:left w:val="none" w:color="000000" w:sz="4"/>
                    <w:bottom w:val="single" w:color="000000" w:sz="4"/>
                    <w:right w:val="single" w:color="000000" w:sz="4"/>
                  </w:tcBorders>
                  <w:vAlign w:val="top"/>
                </w:tcPr>
                <w:p>
                  <w:pPr>
                    <w:jc w:val="left"/>
                  </w:pPr>
                  <w:r>
                    <w:rPr>
                      <w:sz w:val="21"/>
                    </w:rPr>
                    <w:t>声光报警器</w:t>
                  </w:r>
                </w:p>
              </w:tc>
              <w:tc>
                <w:tcPr>
                  <w:tcW w:type="dxa" w:w="2867"/>
                  <w:tcBorders>
                    <w:top w:val="none" w:color="000000" w:sz="4"/>
                    <w:left w:val="none" w:color="000000" w:sz="4"/>
                    <w:bottom w:val="single" w:color="000000" w:sz="4"/>
                    <w:right w:val="single" w:color="000000" w:sz="4"/>
                  </w:tcBorders>
                  <w:vAlign w:val="top"/>
                </w:tcPr>
                <w:p>
                  <w:pPr>
                    <w:jc w:val="left"/>
                  </w:pPr>
                  <w:r>
                    <w:rPr>
                      <w:sz w:val="21"/>
                    </w:rPr>
                    <w:t>实现声光报警功能</w:t>
                  </w:r>
                </w:p>
              </w:tc>
              <w:tc>
                <w:tcPr>
                  <w:tcW w:type="dxa" w:w="483"/>
                  <w:tcBorders>
                    <w:top w:val="none" w:color="000000" w:sz="4"/>
                    <w:left w:val="none" w:color="000000" w:sz="4"/>
                    <w:bottom w:val="single" w:color="000000" w:sz="4"/>
                    <w:right w:val="single" w:color="000000" w:sz="4"/>
                  </w:tcBorders>
                  <w:vAlign w:val="top"/>
                </w:tcPr>
                <w:p>
                  <w:pPr>
                    <w:jc w:val="center"/>
                  </w:pPr>
                  <w:r>
                    <w:rPr>
                      <w:sz w:val="21"/>
                    </w:rPr>
                    <w:t>1</w:t>
                  </w:r>
                </w:p>
              </w:tc>
              <w:tc>
                <w:tcPr>
                  <w:tcW w:type="dxa" w:w="528"/>
                  <w:tcBorders>
                    <w:top w:val="none" w:color="000000" w:sz="4"/>
                    <w:left w:val="none" w:color="000000" w:sz="4"/>
                    <w:bottom w:val="single" w:color="000000" w:sz="4"/>
                    <w:right w:val="single" w:color="000000" w:sz="4"/>
                  </w:tcBorders>
                  <w:vAlign w:val="top"/>
                </w:tcPr>
                <w:p>
                  <w:pPr>
                    <w:jc w:val="center"/>
                  </w:pPr>
                  <w:r>
                    <w:rPr>
                      <w:sz w:val="21"/>
                    </w:rPr>
                    <w:t>个</w:t>
                  </w:r>
                </w:p>
              </w:tc>
            </w:tr>
            <w:tr>
              <w:tc>
                <w:tcPr>
                  <w:tcW w:type="dxa" w:w="513"/>
                  <w:tcBorders>
                    <w:top w:val="none" w:color="000000" w:sz="4"/>
                    <w:left w:val="single" w:color="000000" w:sz="4"/>
                    <w:bottom w:val="single" w:color="000000" w:sz="4"/>
                    <w:right w:val="single" w:color="000000" w:sz="4"/>
                  </w:tcBorders>
                  <w:vAlign w:val="top"/>
                </w:tcPr>
                <w:p>
                  <w:pPr>
                    <w:jc w:val="both"/>
                  </w:pPr>
                  <w:r>
                    <w:rPr>
                      <w:sz w:val="21"/>
                    </w:rPr>
                    <w:t>5</w:t>
                  </w:r>
                </w:p>
              </w:tc>
              <w:tc>
                <w:tcPr>
                  <w:tcW w:type="dxa" w:w="1207"/>
                  <w:tcBorders>
                    <w:top w:val="none" w:color="000000" w:sz="4"/>
                    <w:left w:val="none" w:color="000000" w:sz="4"/>
                    <w:bottom w:val="single" w:color="000000" w:sz="4"/>
                    <w:right w:val="single" w:color="000000" w:sz="4"/>
                  </w:tcBorders>
                  <w:vAlign w:val="top"/>
                </w:tcPr>
                <w:p>
                  <w:pPr>
                    <w:jc w:val="left"/>
                  </w:pPr>
                  <w:r>
                    <w:rPr>
                      <w:sz w:val="21"/>
                    </w:rPr>
                    <w:t>传感器集中供电电源</w:t>
                  </w:r>
                </w:p>
              </w:tc>
              <w:tc>
                <w:tcPr>
                  <w:tcW w:type="dxa" w:w="2867"/>
                  <w:tcBorders>
                    <w:top w:val="none" w:color="000000" w:sz="4"/>
                    <w:left w:val="none" w:color="000000" w:sz="4"/>
                    <w:bottom w:val="single" w:color="000000" w:sz="4"/>
                    <w:right w:val="single" w:color="000000" w:sz="4"/>
                  </w:tcBorders>
                  <w:shd w:fill="FFFFFF"/>
                  <w:vAlign w:val="top"/>
                </w:tcPr>
                <w:p>
                  <w:pPr>
                    <w:jc w:val="left"/>
                  </w:pPr>
                  <w:r>
                    <w:rPr>
                      <w:sz w:val="21"/>
                    </w:rPr>
                    <w:t>输入电压：</w:t>
                  </w:r>
                  <w:r>
                    <w:rPr>
                      <w:sz w:val="21"/>
                    </w:rPr>
                    <w:t>200-240VAC 50HZ DC12V2A</w:t>
                  </w:r>
                </w:p>
              </w:tc>
              <w:tc>
                <w:tcPr>
                  <w:tcW w:type="dxa" w:w="483"/>
                  <w:tcBorders>
                    <w:top w:val="none" w:color="000000" w:sz="4"/>
                    <w:left w:val="none" w:color="000000" w:sz="4"/>
                    <w:bottom w:val="single" w:color="000000" w:sz="4"/>
                    <w:right w:val="single" w:color="000000" w:sz="4"/>
                  </w:tcBorders>
                  <w:vAlign w:val="top"/>
                </w:tcPr>
                <w:p>
                  <w:pPr>
                    <w:jc w:val="center"/>
                  </w:pPr>
                  <w:r>
                    <w:rPr>
                      <w:sz w:val="21"/>
                    </w:rPr>
                    <w:t>1</w:t>
                  </w:r>
                </w:p>
              </w:tc>
              <w:tc>
                <w:tcPr>
                  <w:tcW w:type="dxa" w:w="528"/>
                  <w:tcBorders>
                    <w:top w:val="none" w:color="000000" w:sz="4"/>
                    <w:left w:val="none" w:color="000000" w:sz="4"/>
                    <w:bottom w:val="single" w:color="000000" w:sz="4"/>
                    <w:right w:val="single" w:color="000000" w:sz="4"/>
                  </w:tcBorders>
                  <w:vAlign w:val="top"/>
                </w:tcPr>
                <w:p>
                  <w:pPr>
                    <w:jc w:val="center"/>
                  </w:pPr>
                  <w:r>
                    <w:rPr>
                      <w:sz w:val="21"/>
                    </w:rPr>
                    <w:t>台</w:t>
                  </w:r>
                </w:p>
              </w:tc>
            </w:tr>
            <w:tr>
              <w:tc>
                <w:tcPr>
                  <w:tcW w:type="dxa" w:w="513"/>
                  <w:tcBorders>
                    <w:top w:val="none" w:color="000000" w:sz="4"/>
                    <w:left w:val="single" w:color="000000" w:sz="4"/>
                    <w:bottom w:val="single" w:color="000000" w:sz="4"/>
                    <w:right w:val="single" w:color="000000" w:sz="4"/>
                  </w:tcBorders>
                  <w:vAlign w:val="top"/>
                </w:tcPr>
                <w:p>
                  <w:pPr>
                    <w:jc w:val="both"/>
                  </w:pPr>
                  <w:r>
                    <w:rPr>
                      <w:sz w:val="21"/>
                    </w:rPr>
                    <w:t>6</w:t>
                  </w:r>
                </w:p>
              </w:tc>
              <w:tc>
                <w:tcPr>
                  <w:tcW w:type="dxa" w:w="1207"/>
                  <w:tcBorders>
                    <w:top w:val="none" w:color="000000" w:sz="4"/>
                    <w:left w:val="none" w:color="000000" w:sz="4"/>
                    <w:bottom w:val="single" w:color="000000" w:sz="4"/>
                    <w:right w:val="single" w:color="000000" w:sz="4"/>
                  </w:tcBorders>
                  <w:vAlign w:val="top"/>
                </w:tcPr>
                <w:p>
                  <w:pPr>
                    <w:jc w:val="left"/>
                  </w:pPr>
                  <w:r>
                    <w:rPr>
                      <w:sz w:val="21"/>
                    </w:rPr>
                    <w:t>机柜</w:t>
                  </w:r>
                </w:p>
              </w:tc>
              <w:tc>
                <w:tcPr>
                  <w:tcW w:type="dxa" w:w="2867"/>
                  <w:tcBorders>
                    <w:top w:val="none" w:color="000000" w:sz="4"/>
                    <w:left w:val="none" w:color="000000" w:sz="4"/>
                    <w:bottom w:val="single" w:color="000000" w:sz="4"/>
                    <w:right w:val="single" w:color="000000" w:sz="4"/>
                  </w:tcBorders>
                  <w:vAlign w:val="top"/>
                </w:tcPr>
                <w:p>
                  <w:pPr>
                    <w:jc w:val="left"/>
                  </w:pPr>
                  <w:r>
                    <w:rPr>
                      <w:sz w:val="21"/>
                    </w:rPr>
                    <w:t>网络机柜</w:t>
                  </w:r>
                </w:p>
              </w:tc>
              <w:tc>
                <w:tcPr>
                  <w:tcW w:type="dxa" w:w="483"/>
                  <w:tcBorders>
                    <w:top w:val="none" w:color="000000" w:sz="4"/>
                    <w:left w:val="none" w:color="000000" w:sz="4"/>
                    <w:bottom w:val="single" w:color="000000" w:sz="4"/>
                    <w:right w:val="single" w:color="000000" w:sz="4"/>
                  </w:tcBorders>
                  <w:vAlign w:val="top"/>
                </w:tcPr>
                <w:p>
                  <w:pPr>
                    <w:jc w:val="center"/>
                  </w:pPr>
                  <w:r>
                    <w:rPr>
                      <w:sz w:val="21"/>
                    </w:rPr>
                    <w:t>1</w:t>
                  </w:r>
                </w:p>
              </w:tc>
              <w:tc>
                <w:tcPr>
                  <w:tcW w:type="dxa" w:w="528"/>
                  <w:tcBorders>
                    <w:top w:val="none" w:color="000000" w:sz="4"/>
                    <w:left w:val="none" w:color="000000" w:sz="4"/>
                    <w:bottom w:val="single" w:color="000000" w:sz="4"/>
                    <w:right w:val="single" w:color="000000" w:sz="4"/>
                  </w:tcBorders>
                  <w:vAlign w:val="top"/>
                </w:tcPr>
                <w:p>
                  <w:pPr>
                    <w:jc w:val="center"/>
                  </w:pPr>
                  <w:r>
                    <w:rPr>
                      <w:sz w:val="21"/>
                    </w:rPr>
                    <w:t>台</w:t>
                  </w:r>
                </w:p>
              </w:tc>
            </w:tr>
            <w:tr>
              <w:tc>
                <w:tcPr>
                  <w:tcW w:type="dxa" w:w="513"/>
                  <w:tcBorders>
                    <w:top w:val="none" w:color="000000" w:sz="4"/>
                    <w:left w:val="single" w:color="000000" w:sz="4"/>
                    <w:bottom w:val="single" w:color="000000" w:sz="4"/>
                    <w:right w:val="single" w:color="000000" w:sz="4"/>
                  </w:tcBorders>
                  <w:vAlign w:val="top"/>
                </w:tcPr>
                <w:p>
                  <w:pPr>
                    <w:jc w:val="both"/>
                  </w:pPr>
                  <w:r>
                    <w:rPr>
                      <w:sz w:val="21"/>
                    </w:rPr>
                    <w:t>7</w:t>
                  </w:r>
                </w:p>
              </w:tc>
              <w:tc>
                <w:tcPr>
                  <w:tcW w:type="dxa" w:w="1207"/>
                  <w:tcBorders>
                    <w:top w:val="none" w:color="000000" w:sz="4"/>
                    <w:left w:val="none" w:color="000000" w:sz="4"/>
                    <w:bottom w:val="single" w:color="000000" w:sz="4"/>
                    <w:right w:val="single" w:color="000000" w:sz="4"/>
                  </w:tcBorders>
                  <w:vAlign w:val="top"/>
                </w:tcPr>
                <w:p>
                  <w:pPr>
                    <w:jc w:val="left"/>
                  </w:pPr>
                  <w:r>
                    <w:rPr>
                      <w:sz w:val="21"/>
                    </w:rPr>
                    <w:t>除湿机</w:t>
                  </w:r>
                </w:p>
              </w:tc>
              <w:tc>
                <w:tcPr>
                  <w:tcW w:type="dxa" w:w="2867"/>
                  <w:tcBorders>
                    <w:top w:val="none" w:color="000000" w:sz="4"/>
                    <w:left w:val="none" w:color="000000" w:sz="4"/>
                    <w:bottom w:val="single" w:color="000000" w:sz="4"/>
                    <w:right w:val="single" w:color="000000" w:sz="4"/>
                  </w:tcBorders>
                  <w:vAlign w:val="top"/>
                </w:tcPr>
                <w:p>
                  <w:pPr>
                    <w:jc w:val="left"/>
                  </w:pPr>
                  <w:r>
                    <w:rPr>
                      <w:sz w:val="21"/>
                    </w:rPr>
                    <w:t>最大除湿量：</w:t>
                  </w:r>
                  <w:r>
                    <w:rPr>
                      <w:sz w:val="21"/>
                    </w:rPr>
                    <w:t>80L/D</w:t>
                  </w:r>
                </w:p>
                <w:p>
                  <w:pPr>
                    <w:jc w:val="left"/>
                  </w:pPr>
                  <w:r>
                    <w:rPr>
                      <w:sz w:val="21"/>
                    </w:rPr>
                    <w:t>适用面积</w:t>
                  </w:r>
                  <w:r>
                    <w:rPr>
                      <w:sz w:val="21"/>
                    </w:rPr>
                    <w:t>80-100</w:t>
                  </w:r>
                  <w:r>
                    <w:rPr>
                      <w:sz w:val="21"/>
                    </w:rPr>
                    <w:t>㎡</w:t>
                  </w:r>
                </w:p>
                <w:p>
                  <w:pPr>
                    <w:jc w:val="left"/>
                  </w:pPr>
                  <w:r>
                    <w:rPr>
                      <w:sz w:val="21"/>
                    </w:rPr>
                    <w:t>全湿度数据显示</w:t>
                  </w:r>
                </w:p>
                <w:p>
                  <w:pPr>
                    <w:jc w:val="left"/>
                  </w:pPr>
                  <w:r>
                    <w:rPr>
                      <w:sz w:val="21"/>
                    </w:rPr>
                    <w:t>电压</w:t>
                  </w:r>
                  <w:r>
                    <w:rPr>
                      <w:sz w:val="21"/>
                    </w:rPr>
                    <w:t>220</w:t>
                  </w:r>
                  <w:r>
                    <w:rPr>
                      <w:sz w:val="21"/>
                    </w:rPr>
                    <w:t>伏</w:t>
                  </w:r>
                </w:p>
              </w:tc>
              <w:tc>
                <w:tcPr>
                  <w:tcW w:type="dxa" w:w="483"/>
                  <w:tcBorders>
                    <w:top w:val="none" w:color="000000" w:sz="4"/>
                    <w:left w:val="none" w:color="000000" w:sz="4"/>
                    <w:bottom w:val="single" w:color="000000" w:sz="4"/>
                    <w:right w:val="single" w:color="000000" w:sz="4"/>
                  </w:tcBorders>
                  <w:vAlign w:val="top"/>
                </w:tcPr>
                <w:p>
                  <w:pPr>
                    <w:jc w:val="center"/>
                  </w:pPr>
                  <w:r>
                    <w:rPr>
                      <w:sz w:val="21"/>
                    </w:rPr>
                    <w:t>4</w:t>
                  </w:r>
                </w:p>
              </w:tc>
              <w:tc>
                <w:tcPr>
                  <w:tcW w:type="dxa" w:w="528"/>
                  <w:tcBorders>
                    <w:top w:val="none" w:color="000000" w:sz="4"/>
                    <w:left w:val="none" w:color="000000" w:sz="4"/>
                    <w:bottom w:val="single" w:color="000000" w:sz="4"/>
                    <w:right w:val="single" w:color="000000" w:sz="4"/>
                  </w:tcBorders>
                  <w:vAlign w:val="top"/>
                </w:tcPr>
                <w:p>
                  <w:pPr>
                    <w:jc w:val="center"/>
                  </w:pPr>
                  <w:r>
                    <w:rPr>
                      <w:sz w:val="21"/>
                    </w:rPr>
                    <w:t>台</w:t>
                  </w:r>
                </w:p>
              </w:tc>
            </w:tr>
            <w:tr>
              <w:tc>
                <w:tcPr>
                  <w:tcW w:type="dxa" w:w="513"/>
                  <w:tcBorders>
                    <w:top w:val="none" w:color="000000" w:sz="4"/>
                    <w:left w:val="single" w:color="000000" w:sz="4"/>
                    <w:bottom w:val="single" w:color="000000" w:sz="4"/>
                    <w:right w:val="single" w:color="000000" w:sz="4"/>
                  </w:tcBorders>
                  <w:vAlign w:val="top"/>
                </w:tcPr>
                <w:p>
                  <w:pPr>
                    <w:jc w:val="both"/>
                  </w:pPr>
                  <w:r>
                    <w:rPr>
                      <w:sz w:val="21"/>
                    </w:rPr>
                    <w:t>8</w:t>
                  </w:r>
                </w:p>
              </w:tc>
              <w:tc>
                <w:tcPr>
                  <w:tcW w:type="dxa" w:w="1207"/>
                  <w:tcBorders>
                    <w:top w:val="none" w:color="000000" w:sz="4"/>
                    <w:left w:val="none" w:color="000000" w:sz="4"/>
                    <w:bottom w:val="single" w:color="000000" w:sz="4"/>
                    <w:right w:val="single" w:color="000000" w:sz="4"/>
                  </w:tcBorders>
                  <w:vAlign w:val="top"/>
                </w:tcPr>
                <w:p>
                  <w:pPr>
                    <w:jc w:val="left"/>
                  </w:pPr>
                  <w:r>
                    <w:rPr>
                      <w:sz w:val="21"/>
                    </w:rPr>
                    <w:t>通风系统</w:t>
                  </w:r>
                </w:p>
              </w:tc>
              <w:tc>
                <w:tcPr>
                  <w:tcW w:type="dxa" w:w="2867"/>
                  <w:tcBorders>
                    <w:top w:val="none" w:color="000000" w:sz="4"/>
                    <w:left w:val="none" w:color="000000" w:sz="4"/>
                    <w:bottom w:val="single" w:color="000000" w:sz="4"/>
                    <w:right w:val="single" w:color="000000" w:sz="4"/>
                  </w:tcBorders>
                  <w:vAlign w:val="top"/>
                </w:tcPr>
                <w:p>
                  <w:pPr>
                    <w:jc w:val="left"/>
                  </w:pPr>
                  <w:r>
                    <w:rPr>
                      <w:sz w:val="21"/>
                    </w:rPr>
                    <w:t>3</w:t>
                  </w:r>
                  <w:r>
                    <w:rPr>
                      <w:sz w:val="21"/>
                    </w:rPr>
                    <w:t>匹天花机</w:t>
                  </w:r>
                  <w:r>
                    <w:rPr>
                      <w:sz w:val="21"/>
                    </w:rPr>
                    <w:t>/</w:t>
                  </w:r>
                  <w:r>
                    <w:rPr>
                      <w:sz w:val="21"/>
                    </w:rPr>
                    <w:t>柜机</w:t>
                  </w:r>
                </w:p>
              </w:tc>
              <w:tc>
                <w:tcPr>
                  <w:tcW w:type="dxa" w:w="483"/>
                  <w:tcBorders>
                    <w:top w:val="none" w:color="000000" w:sz="4"/>
                    <w:left w:val="none" w:color="000000" w:sz="4"/>
                    <w:bottom w:val="single" w:color="000000" w:sz="4"/>
                    <w:right w:val="single" w:color="000000" w:sz="4"/>
                  </w:tcBorders>
                  <w:vAlign w:val="top"/>
                </w:tcPr>
                <w:p>
                  <w:pPr>
                    <w:jc w:val="center"/>
                  </w:pPr>
                  <w:r>
                    <w:rPr>
                      <w:sz w:val="21"/>
                    </w:rPr>
                    <w:t>5</w:t>
                  </w:r>
                </w:p>
              </w:tc>
              <w:tc>
                <w:tcPr>
                  <w:tcW w:type="dxa" w:w="528"/>
                  <w:tcBorders>
                    <w:top w:val="none" w:color="000000" w:sz="4"/>
                    <w:left w:val="none" w:color="000000" w:sz="4"/>
                    <w:bottom w:val="single" w:color="000000" w:sz="4"/>
                    <w:right w:val="single" w:color="000000" w:sz="4"/>
                  </w:tcBorders>
                  <w:vAlign w:val="top"/>
                </w:tcPr>
                <w:p>
                  <w:pPr>
                    <w:jc w:val="center"/>
                  </w:pPr>
                  <w:r>
                    <w:rPr>
                      <w:sz w:val="21"/>
                    </w:rPr>
                    <w:t>台</w:t>
                  </w:r>
                </w:p>
              </w:tc>
            </w:tr>
            <w:tr>
              <w:tc>
                <w:tcPr>
                  <w:tcW w:type="dxa" w:w="513"/>
                  <w:tcBorders>
                    <w:top w:val="none" w:color="000000" w:sz="4"/>
                    <w:left w:val="single" w:color="000000" w:sz="4"/>
                    <w:bottom w:val="single" w:color="000000" w:sz="4"/>
                    <w:right w:val="single" w:color="000000" w:sz="4"/>
                  </w:tcBorders>
                  <w:vAlign w:val="top"/>
                </w:tcPr>
                <w:p>
                  <w:pPr>
                    <w:jc w:val="both"/>
                  </w:pPr>
                  <w:r>
                    <w:rPr>
                      <w:sz w:val="21"/>
                    </w:rPr>
                    <w:t>9</w:t>
                  </w:r>
                </w:p>
              </w:tc>
              <w:tc>
                <w:tcPr>
                  <w:tcW w:type="dxa" w:w="1207"/>
                  <w:tcBorders>
                    <w:top w:val="none" w:color="000000" w:sz="4"/>
                    <w:left w:val="none" w:color="000000" w:sz="4"/>
                    <w:bottom w:val="single" w:color="000000" w:sz="4"/>
                    <w:right w:val="single" w:color="000000" w:sz="4"/>
                  </w:tcBorders>
                  <w:vAlign w:val="top"/>
                </w:tcPr>
                <w:p>
                  <w:pPr>
                    <w:jc w:val="left"/>
                  </w:pPr>
                  <w:r>
                    <w:rPr>
                      <w:sz w:val="21"/>
                    </w:rPr>
                    <w:t>光纤交换机</w:t>
                  </w:r>
                </w:p>
              </w:tc>
              <w:tc>
                <w:tcPr>
                  <w:tcW w:type="dxa" w:w="2867"/>
                  <w:tcBorders>
                    <w:top w:val="none" w:color="000000" w:sz="4"/>
                    <w:left w:val="none" w:color="000000" w:sz="4"/>
                    <w:bottom w:val="single" w:color="000000" w:sz="4"/>
                    <w:right w:val="single" w:color="000000" w:sz="4"/>
                  </w:tcBorders>
                  <w:vAlign w:val="top"/>
                </w:tcPr>
                <w:p>
                  <w:pPr>
                    <w:jc w:val="left"/>
                  </w:pPr>
                  <w:r>
                    <w:rPr>
                      <w:sz w:val="21"/>
                    </w:rPr>
                    <w:t>1.24*10/100/1000 Base-T</w:t>
                  </w:r>
                  <w:r>
                    <w:rPr>
                      <w:sz w:val="21"/>
                    </w:rPr>
                    <w:t>以太网端口</w:t>
                  </w:r>
                </w:p>
                <w:p>
                  <w:pPr>
                    <w:jc w:val="left"/>
                  </w:pPr>
                  <w:r>
                    <w:rPr>
                      <w:sz w:val="21"/>
                    </w:rPr>
                    <w:t>2.4*100/1000 Base-X SFP</w:t>
                  </w:r>
                  <w:r>
                    <w:rPr>
                      <w:sz w:val="21"/>
                    </w:rPr>
                    <w:t>光口</w:t>
                  </w:r>
                </w:p>
              </w:tc>
              <w:tc>
                <w:tcPr>
                  <w:tcW w:type="dxa" w:w="483"/>
                  <w:tcBorders>
                    <w:top w:val="none" w:color="000000" w:sz="4"/>
                    <w:left w:val="none" w:color="000000" w:sz="4"/>
                    <w:bottom w:val="single" w:color="000000" w:sz="4"/>
                    <w:right w:val="single" w:color="000000" w:sz="4"/>
                  </w:tcBorders>
                  <w:vAlign w:val="top"/>
                </w:tcPr>
                <w:p>
                  <w:pPr>
                    <w:jc w:val="center"/>
                  </w:pPr>
                  <w:r>
                    <w:rPr>
                      <w:sz w:val="21"/>
                    </w:rPr>
                    <w:t>1</w:t>
                  </w:r>
                </w:p>
              </w:tc>
              <w:tc>
                <w:tcPr>
                  <w:tcW w:type="dxa" w:w="528"/>
                  <w:tcBorders>
                    <w:top w:val="none" w:color="000000" w:sz="4"/>
                    <w:left w:val="none" w:color="000000" w:sz="4"/>
                    <w:bottom w:val="single" w:color="000000" w:sz="4"/>
                    <w:right w:val="single" w:color="000000" w:sz="4"/>
                  </w:tcBorders>
                  <w:vAlign w:val="top"/>
                </w:tcPr>
                <w:p>
                  <w:pPr>
                    <w:jc w:val="center"/>
                  </w:pPr>
                  <w:r>
                    <w:rPr>
                      <w:sz w:val="21"/>
                    </w:rPr>
                    <w:t>台</w:t>
                  </w:r>
                </w:p>
              </w:tc>
            </w:tr>
            <w:tr>
              <w:tc>
                <w:tcPr>
                  <w:tcW w:type="dxa" w:w="513"/>
                  <w:tcBorders>
                    <w:top w:val="none" w:color="000000" w:sz="4"/>
                    <w:left w:val="single" w:color="000000" w:sz="4"/>
                    <w:bottom w:val="single" w:color="000000" w:sz="4"/>
                    <w:right w:val="single" w:color="000000" w:sz="4"/>
                  </w:tcBorders>
                  <w:vAlign w:val="top"/>
                </w:tcPr>
                <w:p>
                  <w:pPr>
                    <w:jc w:val="both"/>
                  </w:pPr>
                  <w:r>
                    <w:rPr>
                      <w:sz w:val="21"/>
                    </w:rPr>
                    <w:t>10</w:t>
                  </w:r>
                </w:p>
              </w:tc>
              <w:tc>
                <w:tcPr>
                  <w:tcW w:type="dxa" w:w="1207"/>
                  <w:tcBorders>
                    <w:top w:val="none" w:color="000000" w:sz="4"/>
                    <w:left w:val="none" w:color="000000" w:sz="4"/>
                    <w:bottom w:val="single" w:color="000000" w:sz="4"/>
                    <w:right w:val="single" w:color="000000" w:sz="4"/>
                  </w:tcBorders>
                  <w:vAlign w:val="top"/>
                </w:tcPr>
                <w:p>
                  <w:pPr>
                    <w:jc w:val="left"/>
                  </w:pPr>
                  <w:r>
                    <w:rPr>
                      <w:sz w:val="21"/>
                    </w:rPr>
                    <w:t>开门按钮</w:t>
                  </w:r>
                </w:p>
              </w:tc>
              <w:tc>
                <w:tcPr>
                  <w:tcW w:type="dxa" w:w="2867"/>
                  <w:tcBorders>
                    <w:top w:val="none" w:color="000000" w:sz="4"/>
                    <w:left w:val="none" w:color="000000" w:sz="4"/>
                    <w:bottom w:val="single" w:color="000000" w:sz="4"/>
                    <w:right w:val="single" w:color="000000" w:sz="4"/>
                  </w:tcBorders>
                  <w:vAlign w:val="top"/>
                </w:tcPr>
                <w:p>
                  <w:pPr>
                    <w:jc w:val="left"/>
                  </w:pPr>
                  <w:r>
                    <w:rPr>
                      <w:sz w:val="21"/>
                    </w:rPr>
                    <w:t>86</w:t>
                  </w:r>
                  <w:r>
                    <w:rPr>
                      <w:sz w:val="21"/>
                    </w:rPr>
                    <w:t>型开关</w:t>
                  </w:r>
                </w:p>
              </w:tc>
              <w:tc>
                <w:tcPr>
                  <w:tcW w:type="dxa" w:w="483"/>
                  <w:tcBorders>
                    <w:top w:val="none" w:color="000000" w:sz="4"/>
                    <w:left w:val="none" w:color="000000" w:sz="4"/>
                    <w:bottom w:val="single" w:color="000000" w:sz="4"/>
                    <w:right w:val="single" w:color="000000" w:sz="4"/>
                  </w:tcBorders>
                  <w:vAlign w:val="top"/>
                </w:tcPr>
                <w:p>
                  <w:pPr>
                    <w:jc w:val="center"/>
                  </w:pPr>
                  <w:r>
                    <w:rPr>
                      <w:sz w:val="21"/>
                    </w:rPr>
                    <w:t>4</w:t>
                  </w:r>
                </w:p>
              </w:tc>
              <w:tc>
                <w:tcPr>
                  <w:tcW w:type="dxa" w:w="528"/>
                  <w:tcBorders>
                    <w:top w:val="none" w:color="000000" w:sz="4"/>
                    <w:left w:val="none" w:color="000000" w:sz="4"/>
                    <w:bottom w:val="single" w:color="000000" w:sz="4"/>
                    <w:right w:val="single" w:color="000000" w:sz="4"/>
                  </w:tcBorders>
                  <w:vAlign w:val="top"/>
                </w:tcPr>
                <w:p>
                  <w:pPr>
                    <w:jc w:val="center"/>
                  </w:pPr>
                  <w:r>
                    <w:rPr>
                      <w:sz w:val="21"/>
                    </w:rPr>
                    <w:t>个</w:t>
                  </w:r>
                </w:p>
              </w:tc>
            </w:tr>
            <w:tr>
              <w:tc>
                <w:tcPr>
                  <w:tcW w:type="dxa" w:w="513"/>
                  <w:tcBorders>
                    <w:top w:val="none" w:color="000000" w:sz="4"/>
                    <w:left w:val="single" w:color="000000" w:sz="4"/>
                    <w:bottom w:val="single" w:color="000000" w:sz="4"/>
                    <w:right w:val="single" w:color="000000" w:sz="4"/>
                  </w:tcBorders>
                  <w:vAlign w:val="top"/>
                </w:tcPr>
                <w:p>
                  <w:pPr>
                    <w:jc w:val="both"/>
                  </w:pPr>
                  <w:r>
                    <w:rPr>
                      <w:sz w:val="21"/>
                    </w:rPr>
                    <w:t>11</w:t>
                  </w:r>
                </w:p>
              </w:tc>
              <w:tc>
                <w:tcPr>
                  <w:tcW w:type="dxa" w:w="1207"/>
                  <w:tcBorders>
                    <w:top w:val="none" w:color="000000" w:sz="4"/>
                    <w:left w:val="none" w:color="000000" w:sz="4"/>
                    <w:bottom w:val="single" w:color="000000" w:sz="4"/>
                    <w:right w:val="single" w:color="000000" w:sz="4"/>
                  </w:tcBorders>
                  <w:vAlign w:val="top"/>
                </w:tcPr>
                <w:p>
                  <w:pPr>
                    <w:jc w:val="left"/>
                  </w:pPr>
                  <w:r>
                    <w:rPr>
                      <w:sz w:val="21"/>
                    </w:rPr>
                    <w:t>280KG</w:t>
                  </w:r>
                  <w:r>
                    <w:rPr>
                      <w:sz w:val="21"/>
                    </w:rPr>
                    <w:t>磁力锁</w:t>
                  </w:r>
                </w:p>
              </w:tc>
              <w:tc>
                <w:tcPr>
                  <w:tcW w:type="dxa" w:w="2867"/>
                  <w:tcBorders>
                    <w:top w:val="none" w:color="000000" w:sz="4"/>
                    <w:left w:val="none" w:color="000000" w:sz="4"/>
                    <w:bottom w:val="single" w:color="000000" w:sz="4"/>
                    <w:right w:val="single" w:color="000000" w:sz="4"/>
                  </w:tcBorders>
                  <w:vAlign w:val="top"/>
                </w:tcPr>
                <w:p>
                  <w:pPr>
                    <w:jc w:val="left"/>
                  </w:pPr>
                  <w:r>
                    <w:rPr>
                      <w:sz w:val="21"/>
                    </w:rPr>
                    <w:t>5</w:t>
                  </w:r>
                  <w:r>
                    <w:rPr>
                      <w:sz w:val="21"/>
                    </w:rPr>
                    <w:t>号线反馈，单门配一把，双门配两把，</w:t>
                  </w:r>
                  <w:r>
                    <w:rPr>
                      <w:sz w:val="21"/>
                    </w:rPr>
                    <w:t>280kg</w:t>
                  </w:r>
                  <w:r>
                    <w:rPr>
                      <w:sz w:val="21"/>
                    </w:rPr>
                    <w:t>明装单门五线带信号反馈</w:t>
                  </w:r>
                </w:p>
              </w:tc>
              <w:tc>
                <w:tcPr>
                  <w:tcW w:type="dxa" w:w="483"/>
                  <w:tcBorders>
                    <w:top w:val="none" w:color="000000" w:sz="4"/>
                    <w:left w:val="none" w:color="000000" w:sz="4"/>
                    <w:bottom w:val="single" w:color="000000" w:sz="4"/>
                    <w:right w:val="single" w:color="000000" w:sz="4"/>
                  </w:tcBorders>
                  <w:vAlign w:val="top"/>
                </w:tcPr>
                <w:p>
                  <w:pPr>
                    <w:jc w:val="center"/>
                  </w:pPr>
                  <w:r>
                    <w:rPr>
                      <w:sz w:val="21"/>
                    </w:rPr>
                    <w:t>8</w:t>
                  </w:r>
                </w:p>
              </w:tc>
              <w:tc>
                <w:tcPr>
                  <w:tcW w:type="dxa" w:w="528"/>
                  <w:tcBorders>
                    <w:top w:val="none" w:color="000000" w:sz="4"/>
                    <w:left w:val="none" w:color="000000" w:sz="4"/>
                    <w:bottom w:val="single" w:color="000000" w:sz="4"/>
                    <w:right w:val="single" w:color="000000" w:sz="4"/>
                  </w:tcBorders>
                  <w:vAlign w:val="top"/>
                </w:tcPr>
                <w:p>
                  <w:pPr>
                    <w:jc w:val="center"/>
                  </w:pPr>
                  <w:r>
                    <w:rPr>
                      <w:sz w:val="21"/>
                    </w:rPr>
                    <w:t>套</w:t>
                  </w:r>
                </w:p>
              </w:tc>
            </w:tr>
            <w:tr>
              <w:tc>
                <w:tcPr>
                  <w:tcW w:type="dxa" w:w="513"/>
                  <w:tcBorders>
                    <w:top w:val="none" w:color="000000" w:sz="4"/>
                    <w:left w:val="single" w:color="000000" w:sz="4"/>
                    <w:bottom w:val="single" w:color="000000" w:sz="4"/>
                    <w:right w:val="single" w:color="000000" w:sz="4"/>
                  </w:tcBorders>
                  <w:vAlign w:val="top"/>
                </w:tcPr>
                <w:p>
                  <w:pPr>
                    <w:jc w:val="both"/>
                  </w:pPr>
                  <w:r>
                    <w:rPr>
                      <w:sz w:val="21"/>
                    </w:rPr>
                    <w:t>12</w:t>
                  </w:r>
                </w:p>
              </w:tc>
              <w:tc>
                <w:tcPr>
                  <w:tcW w:type="dxa" w:w="1207"/>
                  <w:tcBorders>
                    <w:top w:val="none" w:color="000000" w:sz="4"/>
                    <w:left w:val="none" w:color="000000" w:sz="4"/>
                    <w:bottom w:val="single" w:color="000000" w:sz="4"/>
                    <w:right w:val="single" w:color="000000" w:sz="4"/>
                  </w:tcBorders>
                  <w:vAlign w:val="top"/>
                </w:tcPr>
                <w:p>
                  <w:pPr>
                    <w:jc w:val="left"/>
                  </w:pPr>
                  <w:r>
                    <w:rPr>
                      <w:sz w:val="21"/>
                    </w:rPr>
                    <w:t>ID</w:t>
                  </w:r>
                  <w:r>
                    <w:rPr>
                      <w:sz w:val="21"/>
                    </w:rPr>
                    <w:t>发卡器</w:t>
                  </w:r>
                </w:p>
              </w:tc>
              <w:tc>
                <w:tcPr>
                  <w:tcW w:type="dxa" w:w="2867"/>
                  <w:tcBorders>
                    <w:top w:val="none" w:color="000000" w:sz="4"/>
                    <w:left w:val="none" w:color="000000" w:sz="4"/>
                    <w:bottom w:val="single" w:color="000000" w:sz="4"/>
                    <w:right w:val="single" w:color="000000" w:sz="4"/>
                  </w:tcBorders>
                  <w:vAlign w:val="top"/>
                </w:tcPr>
                <w:p>
                  <w:pPr>
                    <w:jc w:val="left"/>
                  </w:pPr>
                  <w:r>
                    <w:rPr>
                      <w:sz w:val="21"/>
                    </w:rPr>
                    <w:t>卡支持：</w:t>
                  </w:r>
                  <w:r>
                    <w:rPr>
                      <w:sz w:val="21"/>
                    </w:rPr>
                    <w:t>ID</w:t>
                  </w:r>
                </w:p>
                <w:p>
                  <w:pPr>
                    <w:jc w:val="left"/>
                  </w:pPr>
                  <w:r>
                    <w:rPr>
                      <w:sz w:val="21"/>
                    </w:rPr>
                    <w:t>ID</w:t>
                  </w:r>
                  <w:r>
                    <w:rPr>
                      <w:sz w:val="21"/>
                    </w:rPr>
                    <w:t>输出格式：</w:t>
                  </w:r>
                  <w:r>
                    <w:rPr>
                      <w:sz w:val="21"/>
                    </w:rPr>
                    <w:t>Wiegand26</w:t>
                  </w:r>
                </w:p>
                <w:p>
                  <w:pPr>
                    <w:jc w:val="left"/>
                  </w:pPr>
                  <w:r>
                    <w:rPr>
                      <w:sz w:val="21"/>
                    </w:rPr>
                    <w:t>读卡距离：</w:t>
                  </w:r>
                  <w:r>
                    <w:rPr>
                      <w:sz w:val="21"/>
                    </w:rPr>
                    <w:t>≥5cm</w:t>
                  </w:r>
                </w:p>
                <w:p>
                  <w:pPr>
                    <w:jc w:val="left"/>
                  </w:pPr>
                  <w:r>
                    <w:rPr>
                      <w:sz w:val="21"/>
                    </w:rPr>
                    <w:t>内置蜂鸣器</w:t>
                  </w:r>
                  <w:r>
                    <w:rPr>
                      <w:sz w:val="21"/>
                    </w:rPr>
                    <w:t xml:space="preserve">86x86x20  </w:t>
                  </w:r>
                  <w:r>
                    <w:rPr>
                      <w:sz w:val="21"/>
                    </w:rPr>
                    <w:t>刷卡</w:t>
                  </w:r>
                </w:p>
              </w:tc>
              <w:tc>
                <w:tcPr>
                  <w:tcW w:type="dxa" w:w="483"/>
                  <w:tcBorders>
                    <w:top w:val="none" w:color="000000" w:sz="4"/>
                    <w:left w:val="none" w:color="000000" w:sz="4"/>
                    <w:bottom w:val="single" w:color="000000" w:sz="4"/>
                    <w:right w:val="single" w:color="000000" w:sz="4"/>
                  </w:tcBorders>
                  <w:vAlign w:val="top"/>
                </w:tcPr>
                <w:p>
                  <w:pPr>
                    <w:jc w:val="center"/>
                  </w:pPr>
                  <w:r>
                    <w:rPr>
                      <w:sz w:val="21"/>
                    </w:rPr>
                    <w:t>1</w:t>
                  </w:r>
                </w:p>
              </w:tc>
              <w:tc>
                <w:tcPr>
                  <w:tcW w:type="dxa" w:w="528"/>
                  <w:tcBorders>
                    <w:top w:val="none" w:color="000000" w:sz="4"/>
                    <w:left w:val="none" w:color="000000" w:sz="4"/>
                    <w:bottom w:val="single" w:color="000000" w:sz="4"/>
                    <w:right w:val="single" w:color="000000" w:sz="4"/>
                  </w:tcBorders>
                  <w:vAlign w:val="top"/>
                </w:tcPr>
                <w:p>
                  <w:pPr>
                    <w:jc w:val="center"/>
                  </w:pPr>
                  <w:r>
                    <w:rPr>
                      <w:sz w:val="21"/>
                    </w:rPr>
                    <w:t>套</w:t>
                  </w:r>
                </w:p>
              </w:tc>
            </w:tr>
            <w:tr>
              <w:tc>
                <w:tcPr>
                  <w:tcW w:type="dxa" w:w="513"/>
                  <w:tcBorders>
                    <w:top w:val="none" w:color="000000" w:sz="4"/>
                    <w:left w:val="single" w:color="000000" w:sz="4"/>
                    <w:bottom w:val="single" w:color="000000" w:sz="4"/>
                    <w:right w:val="single" w:color="000000" w:sz="4"/>
                  </w:tcBorders>
                  <w:vAlign w:val="top"/>
                </w:tcPr>
                <w:p>
                  <w:pPr>
                    <w:jc w:val="both"/>
                  </w:pPr>
                  <w:r>
                    <w:rPr>
                      <w:sz w:val="21"/>
                    </w:rPr>
                    <w:t>13</w:t>
                  </w:r>
                </w:p>
              </w:tc>
              <w:tc>
                <w:tcPr>
                  <w:tcW w:type="dxa" w:w="1207"/>
                  <w:tcBorders>
                    <w:top w:val="none" w:color="000000" w:sz="4"/>
                    <w:left w:val="none" w:color="000000" w:sz="4"/>
                    <w:bottom w:val="single" w:color="000000" w:sz="4"/>
                    <w:right w:val="single" w:color="000000" w:sz="4"/>
                  </w:tcBorders>
                  <w:vAlign w:val="top"/>
                </w:tcPr>
                <w:p>
                  <w:pPr>
                    <w:jc w:val="left"/>
                  </w:pPr>
                  <w:r>
                    <w:rPr>
                      <w:sz w:val="21"/>
                    </w:rPr>
                    <w:t>门禁电源</w:t>
                  </w:r>
                </w:p>
              </w:tc>
              <w:tc>
                <w:tcPr>
                  <w:tcW w:type="dxa" w:w="2867"/>
                  <w:tcBorders>
                    <w:top w:val="none" w:color="000000" w:sz="4"/>
                    <w:left w:val="none" w:color="000000" w:sz="4"/>
                    <w:bottom w:val="single" w:color="000000" w:sz="4"/>
                    <w:right w:val="single" w:color="000000" w:sz="4"/>
                  </w:tcBorders>
                  <w:vAlign w:val="top"/>
                </w:tcPr>
                <w:p>
                  <w:pPr>
                    <w:jc w:val="left"/>
                  </w:pPr>
                  <w:r>
                    <w:rPr>
                      <w:sz w:val="21"/>
                    </w:rPr>
                    <w:t>12VDC,3A,</w:t>
                  </w:r>
                  <w:r>
                    <w:rPr>
                      <w:sz w:val="21"/>
                    </w:rPr>
                    <w:t>实际</w:t>
                  </w:r>
                  <w:r>
                    <w:rPr>
                      <w:sz w:val="21"/>
                    </w:rPr>
                    <w:t>2.5~3.0A</w:t>
                  </w:r>
                </w:p>
              </w:tc>
              <w:tc>
                <w:tcPr>
                  <w:tcW w:type="dxa" w:w="483"/>
                  <w:tcBorders>
                    <w:top w:val="none" w:color="000000" w:sz="4"/>
                    <w:left w:val="none" w:color="000000" w:sz="4"/>
                    <w:bottom w:val="single" w:color="000000" w:sz="4"/>
                    <w:right w:val="single" w:color="000000" w:sz="4"/>
                  </w:tcBorders>
                  <w:vAlign w:val="top"/>
                </w:tcPr>
                <w:p>
                  <w:pPr>
                    <w:jc w:val="center"/>
                  </w:pPr>
                  <w:r>
                    <w:rPr>
                      <w:sz w:val="21"/>
                    </w:rPr>
                    <w:t>4</w:t>
                  </w:r>
                </w:p>
              </w:tc>
              <w:tc>
                <w:tcPr>
                  <w:tcW w:type="dxa" w:w="528"/>
                  <w:tcBorders>
                    <w:top w:val="none" w:color="000000" w:sz="4"/>
                    <w:left w:val="none" w:color="000000" w:sz="4"/>
                    <w:bottom w:val="single" w:color="000000" w:sz="4"/>
                    <w:right w:val="single" w:color="000000" w:sz="4"/>
                  </w:tcBorders>
                  <w:vAlign w:val="top"/>
                </w:tcPr>
                <w:p>
                  <w:pPr>
                    <w:jc w:val="center"/>
                  </w:pPr>
                  <w:r>
                    <w:rPr>
                      <w:sz w:val="21"/>
                    </w:rPr>
                    <w:t>台</w:t>
                  </w:r>
                </w:p>
              </w:tc>
            </w:tr>
            <w:tr>
              <w:tc>
                <w:tcPr>
                  <w:tcW w:type="dxa" w:w="513"/>
                  <w:tcBorders>
                    <w:top w:val="none" w:color="000000" w:sz="4"/>
                    <w:left w:val="single" w:color="000000" w:sz="4"/>
                    <w:bottom w:val="single" w:color="000000" w:sz="4"/>
                    <w:right w:val="single" w:color="000000" w:sz="4"/>
                  </w:tcBorders>
                  <w:vAlign w:val="top"/>
                </w:tcPr>
                <w:p>
                  <w:pPr>
                    <w:jc w:val="both"/>
                  </w:pPr>
                  <w:r>
                    <w:rPr>
                      <w:sz w:val="21"/>
                    </w:rPr>
                    <w:t>14</w:t>
                  </w:r>
                </w:p>
              </w:tc>
              <w:tc>
                <w:tcPr>
                  <w:tcW w:type="dxa" w:w="1207"/>
                  <w:tcBorders>
                    <w:top w:val="none" w:color="000000" w:sz="4"/>
                    <w:left w:val="none" w:color="000000" w:sz="4"/>
                    <w:bottom w:val="single" w:color="000000" w:sz="4"/>
                    <w:right w:val="single" w:color="000000" w:sz="4"/>
                  </w:tcBorders>
                  <w:vAlign w:val="top"/>
                </w:tcPr>
                <w:p>
                  <w:pPr>
                    <w:jc w:val="left"/>
                  </w:pPr>
                  <w:r>
                    <w:rPr>
                      <w:sz w:val="21"/>
                    </w:rPr>
                    <w:t>甲级防火门</w:t>
                  </w:r>
                </w:p>
              </w:tc>
              <w:tc>
                <w:tcPr>
                  <w:tcW w:type="dxa" w:w="2867"/>
                  <w:tcBorders>
                    <w:top w:val="none" w:color="000000" w:sz="4"/>
                    <w:left w:val="none" w:color="000000" w:sz="4"/>
                    <w:bottom w:val="single" w:color="000000" w:sz="4"/>
                    <w:right w:val="single" w:color="000000" w:sz="4"/>
                  </w:tcBorders>
                  <w:vAlign w:val="top"/>
                </w:tcPr>
                <w:p>
                  <w:pPr>
                    <w:jc w:val="left"/>
                  </w:pPr>
                  <w:r>
                    <w:rPr>
                      <w:sz w:val="21"/>
                    </w:rPr>
                    <w:t>库房门定制</w:t>
                  </w:r>
                </w:p>
              </w:tc>
              <w:tc>
                <w:tcPr>
                  <w:tcW w:type="dxa" w:w="483"/>
                  <w:tcBorders>
                    <w:top w:val="none" w:color="000000" w:sz="4"/>
                    <w:left w:val="none" w:color="000000" w:sz="4"/>
                    <w:bottom w:val="single" w:color="000000" w:sz="4"/>
                    <w:right w:val="single" w:color="000000" w:sz="4"/>
                  </w:tcBorders>
                  <w:vAlign w:val="top"/>
                </w:tcPr>
                <w:p>
                  <w:pPr>
                    <w:jc w:val="center"/>
                  </w:pPr>
                  <w:r>
                    <w:rPr>
                      <w:sz w:val="21"/>
                    </w:rPr>
                    <w:t>4</w:t>
                  </w:r>
                </w:p>
              </w:tc>
              <w:tc>
                <w:tcPr>
                  <w:tcW w:type="dxa" w:w="528"/>
                  <w:tcBorders>
                    <w:top w:val="none" w:color="000000" w:sz="4"/>
                    <w:left w:val="none" w:color="000000" w:sz="4"/>
                    <w:bottom w:val="single" w:color="000000" w:sz="4"/>
                    <w:right w:val="single" w:color="000000" w:sz="4"/>
                  </w:tcBorders>
                  <w:vAlign w:val="top"/>
                </w:tcPr>
                <w:p>
                  <w:pPr>
                    <w:jc w:val="center"/>
                  </w:pPr>
                  <w:r>
                    <w:rPr>
                      <w:sz w:val="21"/>
                    </w:rPr>
                    <w:t>套</w:t>
                  </w:r>
                </w:p>
              </w:tc>
            </w:tr>
            <w:tr>
              <w:tc>
                <w:tcPr>
                  <w:tcW w:type="dxa" w:w="513"/>
                  <w:tcBorders>
                    <w:top w:val="none" w:color="000000" w:sz="4"/>
                    <w:left w:val="single" w:color="000000" w:sz="4"/>
                    <w:bottom w:val="single" w:color="000000" w:sz="4"/>
                    <w:right w:val="single" w:color="000000" w:sz="4"/>
                  </w:tcBorders>
                  <w:vAlign w:val="top"/>
                </w:tcPr>
                <w:p>
                  <w:pPr>
                    <w:jc w:val="both"/>
                  </w:pPr>
                  <w:r>
                    <w:rPr>
                      <w:sz w:val="21"/>
                    </w:rPr>
                    <w:t>15</w:t>
                  </w:r>
                </w:p>
              </w:tc>
              <w:tc>
                <w:tcPr>
                  <w:tcW w:type="dxa" w:w="1207"/>
                  <w:tcBorders>
                    <w:top w:val="none" w:color="000000" w:sz="4"/>
                    <w:left w:val="none" w:color="000000" w:sz="4"/>
                    <w:bottom w:val="single" w:color="000000" w:sz="4"/>
                    <w:right w:val="single" w:color="000000" w:sz="4"/>
                  </w:tcBorders>
                  <w:vAlign w:val="top"/>
                </w:tcPr>
                <w:p>
                  <w:pPr>
                    <w:jc w:val="left"/>
                  </w:pPr>
                  <w:r>
                    <w:rPr>
                      <w:sz w:val="21"/>
                    </w:rPr>
                    <w:t>门禁指纹一体机</w:t>
                  </w:r>
                </w:p>
              </w:tc>
              <w:tc>
                <w:tcPr>
                  <w:tcW w:type="dxa" w:w="2867"/>
                  <w:tcBorders>
                    <w:top w:val="none" w:color="000000" w:sz="4"/>
                    <w:left w:val="none" w:color="000000" w:sz="4"/>
                    <w:bottom w:val="single" w:color="000000" w:sz="4"/>
                    <w:right w:val="single" w:color="000000" w:sz="4"/>
                  </w:tcBorders>
                  <w:vAlign w:val="top"/>
                </w:tcPr>
                <w:p>
                  <w:pPr>
                    <w:jc w:val="left"/>
                  </w:pPr>
                  <w:r>
                    <w:rPr>
                      <w:sz w:val="21"/>
                    </w:rPr>
                    <w:t>2.8</w:t>
                  </w:r>
                  <w:r>
                    <w:rPr>
                      <w:sz w:val="21"/>
                    </w:rPr>
                    <w:t>寸彩屏指纹容量：</w:t>
                  </w:r>
                  <w:r>
                    <w:rPr>
                      <w:sz w:val="21"/>
                    </w:rPr>
                    <w:t>≥1500</w:t>
                  </w:r>
                  <w:r>
                    <w:rPr>
                      <w:sz w:val="21"/>
                    </w:rPr>
                    <w:t>枚，</w:t>
                  </w:r>
                </w:p>
                <w:p>
                  <w:pPr>
                    <w:jc w:val="left"/>
                  </w:pPr>
                  <w:r>
                    <w:rPr>
                      <w:sz w:val="21"/>
                    </w:rPr>
                    <w:t>支持</w:t>
                  </w:r>
                  <w:r>
                    <w:rPr>
                      <w:sz w:val="21"/>
                    </w:rPr>
                    <w:t>IC</w:t>
                  </w:r>
                  <w:r>
                    <w:rPr>
                      <w:sz w:val="21"/>
                    </w:rPr>
                    <w:t>刷卡，</w:t>
                  </w:r>
                </w:p>
                <w:p>
                  <w:pPr>
                    <w:jc w:val="left"/>
                  </w:pPr>
                  <w:r>
                    <w:rPr>
                      <w:sz w:val="21"/>
                    </w:rPr>
                    <w:t>记录容量：不低于</w:t>
                  </w:r>
                  <w:r>
                    <w:rPr>
                      <w:sz w:val="21"/>
                    </w:rPr>
                    <w:t>100000</w:t>
                  </w:r>
                  <w:r>
                    <w:rPr>
                      <w:sz w:val="21"/>
                    </w:rPr>
                    <w:t>条</w:t>
                  </w:r>
                </w:p>
              </w:tc>
              <w:tc>
                <w:tcPr>
                  <w:tcW w:type="dxa" w:w="483"/>
                  <w:tcBorders>
                    <w:top w:val="none" w:color="000000" w:sz="4"/>
                    <w:left w:val="none" w:color="000000" w:sz="4"/>
                    <w:bottom w:val="single" w:color="000000" w:sz="4"/>
                    <w:right w:val="single" w:color="000000" w:sz="4"/>
                  </w:tcBorders>
                  <w:vAlign w:val="top"/>
                </w:tcPr>
                <w:p>
                  <w:pPr>
                    <w:jc w:val="center"/>
                  </w:pPr>
                  <w:r>
                    <w:rPr>
                      <w:sz w:val="21"/>
                    </w:rPr>
                    <w:t>4</w:t>
                  </w:r>
                </w:p>
              </w:tc>
              <w:tc>
                <w:tcPr>
                  <w:tcW w:type="dxa" w:w="528"/>
                  <w:tcBorders>
                    <w:top w:val="none" w:color="000000" w:sz="4"/>
                    <w:left w:val="none" w:color="000000" w:sz="4"/>
                    <w:bottom w:val="single" w:color="000000" w:sz="4"/>
                    <w:right w:val="single" w:color="000000" w:sz="4"/>
                  </w:tcBorders>
                  <w:vAlign w:val="top"/>
                </w:tcPr>
                <w:p>
                  <w:pPr>
                    <w:jc w:val="center"/>
                  </w:pPr>
                  <w:r>
                    <w:rPr>
                      <w:sz w:val="21"/>
                    </w:rPr>
                    <w:t>台</w:t>
                  </w:r>
                </w:p>
              </w:tc>
            </w:tr>
            <w:tr>
              <w:tc>
                <w:tcPr>
                  <w:tcW w:type="dxa" w:w="513"/>
                  <w:tcBorders>
                    <w:top w:val="none" w:color="000000" w:sz="4"/>
                    <w:left w:val="single" w:color="000000" w:sz="4"/>
                    <w:bottom w:val="single" w:color="000000" w:sz="4"/>
                    <w:right w:val="single" w:color="000000" w:sz="4"/>
                  </w:tcBorders>
                  <w:vAlign w:val="top"/>
                </w:tcPr>
                <w:p>
                  <w:pPr>
                    <w:jc w:val="both"/>
                  </w:pPr>
                  <w:r>
                    <w:rPr>
                      <w:sz w:val="21"/>
                    </w:rPr>
                    <w:t>16</w:t>
                  </w:r>
                </w:p>
              </w:tc>
              <w:tc>
                <w:tcPr>
                  <w:tcW w:type="dxa" w:w="1207"/>
                  <w:tcBorders>
                    <w:top w:val="none" w:color="000000" w:sz="4"/>
                    <w:left w:val="none" w:color="000000" w:sz="4"/>
                    <w:bottom w:val="single" w:color="000000" w:sz="4"/>
                    <w:right w:val="single" w:color="000000" w:sz="4"/>
                  </w:tcBorders>
                  <w:vAlign w:val="top"/>
                </w:tcPr>
                <w:p>
                  <w:pPr>
                    <w:jc w:val="left"/>
                  </w:pPr>
                  <w:r>
                    <w:rPr>
                      <w:sz w:val="21"/>
                    </w:rPr>
                    <w:t>120L</w:t>
                  </w:r>
                  <w:r>
                    <w:rPr>
                      <w:sz w:val="21"/>
                    </w:rPr>
                    <w:t>柜式灭火装置</w:t>
                  </w:r>
                </w:p>
              </w:tc>
              <w:tc>
                <w:tcPr>
                  <w:tcW w:type="dxa" w:w="2867"/>
                  <w:tcBorders>
                    <w:top w:val="none" w:color="000000" w:sz="4"/>
                    <w:left w:val="none" w:color="000000" w:sz="4"/>
                    <w:bottom w:val="single" w:color="000000" w:sz="4"/>
                    <w:right w:val="single" w:color="000000" w:sz="4"/>
                  </w:tcBorders>
                  <w:vAlign w:val="top"/>
                </w:tcPr>
                <w:p>
                  <w:pPr>
                    <w:jc w:val="left"/>
                  </w:pPr>
                  <w:r>
                    <w:rPr>
                      <w:sz w:val="21"/>
                    </w:rPr>
                    <w:t>1.</w:t>
                  </w:r>
                  <w:r>
                    <w:rPr>
                      <w:sz w:val="21"/>
                    </w:rPr>
                    <w:t>灭火形式：全淹没式</w:t>
                  </w:r>
                </w:p>
                <w:p>
                  <w:pPr>
                    <w:jc w:val="left"/>
                  </w:pPr>
                  <w:r>
                    <w:rPr>
                      <w:sz w:val="21"/>
                    </w:rPr>
                    <w:t>2.</w:t>
                  </w:r>
                  <w:r>
                    <w:rPr>
                      <w:sz w:val="21"/>
                    </w:rPr>
                    <w:t>充装密度：</w:t>
                  </w:r>
                  <w:r>
                    <w:rPr>
                      <w:sz w:val="21"/>
                    </w:rPr>
                    <w:t>≤1120kg/L</w:t>
                  </w:r>
                </w:p>
                <w:p>
                  <w:pPr>
                    <w:jc w:val="left"/>
                  </w:pPr>
                  <w:r>
                    <w:rPr>
                      <w:sz w:val="21"/>
                    </w:rPr>
                    <w:t>3.</w:t>
                  </w:r>
                  <w:r>
                    <w:rPr>
                      <w:sz w:val="21"/>
                    </w:rPr>
                    <w:t>充装压力（</w:t>
                  </w:r>
                  <w:r>
                    <w:rPr>
                      <w:sz w:val="21"/>
                    </w:rPr>
                    <w:t>20℃</w:t>
                  </w:r>
                  <w:r>
                    <w:rPr>
                      <w:sz w:val="21"/>
                    </w:rPr>
                    <w:t>）：</w:t>
                  </w:r>
                  <w:r>
                    <w:rPr>
                      <w:sz w:val="21"/>
                    </w:rPr>
                    <w:t>2.5MPa</w:t>
                  </w:r>
                </w:p>
                <w:p>
                  <w:pPr>
                    <w:jc w:val="left"/>
                  </w:pPr>
                  <w:r>
                    <w:rPr>
                      <w:sz w:val="21"/>
                    </w:rPr>
                    <w:t>4.</w:t>
                  </w:r>
                  <w:r>
                    <w:rPr>
                      <w:sz w:val="21"/>
                    </w:rPr>
                    <w:t>使用电源：</w:t>
                  </w:r>
                  <w:r>
                    <w:rPr>
                      <w:sz w:val="21"/>
                    </w:rPr>
                    <w:t>DC24V</w:t>
                  </w:r>
                </w:p>
                <w:p>
                  <w:pPr>
                    <w:jc w:val="left"/>
                  </w:pPr>
                  <w:r>
                    <w:rPr>
                      <w:sz w:val="21"/>
                    </w:rPr>
                    <w:t>5.</w:t>
                  </w:r>
                  <w:r>
                    <w:rPr>
                      <w:sz w:val="21"/>
                    </w:rPr>
                    <w:t>启动方式：电启动（</w:t>
                  </w:r>
                  <w:r>
                    <w:rPr>
                      <w:sz w:val="21"/>
                    </w:rPr>
                    <w:t>DC18</w:t>
                  </w:r>
                  <w:r>
                    <w:rPr>
                      <w:sz w:val="21"/>
                    </w:rPr>
                    <w:t>～</w:t>
                  </w:r>
                  <w:r>
                    <w:rPr>
                      <w:sz w:val="21"/>
                    </w:rPr>
                    <w:t>DC24V</w:t>
                  </w:r>
                  <w:r>
                    <w:rPr>
                      <w:sz w:val="21"/>
                    </w:rPr>
                    <w:t>）</w:t>
                  </w:r>
                </w:p>
                <w:p>
                  <w:pPr>
                    <w:jc w:val="left"/>
                  </w:pPr>
                  <w:r>
                    <w:rPr>
                      <w:sz w:val="21"/>
                    </w:rPr>
                    <w:t>6.</w:t>
                  </w:r>
                  <w:r>
                    <w:rPr>
                      <w:sz w:val="21"/>
                    </w:rPr>
                    <w:t>应急机械手动启动：机械操作力</w:t>
                  </w:r>
                  <w:r>
                    <w:rPr>
                      <w:sz w:val="21"/>
                    </w:rPr>
                    <w:t>≤150N</w:t>
                  </w:r>
                </w:p>
                <w:p>
                  <w:pPr>
                    <w:jc w:val="left"/>
                  </w:pPr>
                  <w:r>
                    <w:rPr>
                      <w:sz w:val="21"/>
                    </w:rPr>
                    <w:t>7.</w:t>
                  </w:r>
                  <w:r>
                    <w:rPr>
                      <w:sz w:val="21"/>
                    </w:rPr>
                    <w:t>灭火剂喷放时间：</w:t>
                  </w:r>
                  <w:r>
                    <w:rPr>
                      <w:sz w:val="21"/>
                    </w:rPr>
                    <w:t xml:space="preserve">≤10s     </w:t>
                  </w:r>
                </w:p>
                <w:p>
                  <w:pPr>
                    <w:jc w:val="left"/>
                  </w:pPr>
                  <w:r>
                    <w:rPr>
                      <w:sz w:val="21"/>
                    </w:rPr>
                    <w:t>8.GQQ120/2.5-QIYU</w:t>
                  </w:r>
                  <w:r>
                    <w:rPr>
                      <w:sz w:val="21"/>
                    </w:rPr>
                    <w:t>。</w:t>
                  </w:r>
                </w:p>
                <w:p>
                  <w:pPr>
                    <w:jc w:val="left"/>
                  </w:pPr>
                  <w:r>
                    <w:rPr>
                      <w:sz w:val="21"/>
                    </w:rPr>
                    <w:t>9.</w:t>
                  </w:r>
                  <w:r>
                    <w:rPr>
                      <w:sz w:val="21"/>
                    </w:rPr>
                    <w:t>外形尺寸长宽高，</w:t>
                  </w:r>
                  <w:r>
                    <w:rPr>
                      <w:sz w:val="21"/>
                    </w:rPr>
                    <w:t>500*450*1950</w:t>
                  </w:r>
                  <w:r>
                    <w:rPr>
                      <w:sz w:val="21"/>
                    </w:rPr>
                    <w:t>，</w:t>
                  </w:r>
                  <w:r>
                    <w:rPr>
                      <w:sz w:val="21"/>
                    </w:rPr>
                    <w:t>10.</w:t>
                  </w:r>
                  <w:r>
                    <w:rPr>
                      <w:sz w:val="21"/>
                    </w:rPr>
                    <w:t>钢瓶内径：</w:t>
                  </w:r>
                  <w:r>
                    <w:rPr>
                      <w:sz w:val="21"/>
                    </w:rPr>
                    <w:t>350</w:t>
                  </w:r>
                  <w:r>
                    <w:rPr>
                      <w:sz w:val="21"/>
                    </w:rPr>
                    <w:t>、 高度：</w:t>
                  </w:r>
                  <w:r>
                    <w:rPr>
                      <w:sz w:val="21"/>
                    </w:rPr>
                    <w:t xml:space="preserve">1430  </w:t>
                  </w:r>
                  <w:r>
                    <w:rPr>
                      <w:sz w:val="21"/>
                    </w:rPr>
                    <w:t>、重量</w:t>
                  </w:r>
                  <w:r>
                    <w:rPr>
                      <w:sz w:val="21"/>
                    </w:rPr>
                    <w:t>72</w:t>
                  </w:r>
                  <w:r>
                    <w:rPr>
                      <w:sz w:val="21"/>
                    </w:rPr>
                    <w:t>公斤、壁厚</w:t>
                  </w:r>
                  <w:r>
                    <w:rPr>
                      <w:sz w:val="21"/>
                    </w:rPr>
                    <w:t>5.2  mm</w:t>
                  </w:r>
                </w:p>
              </w:tc>
              <w:tc>
                <w:tcPr>
                  <w:tcW w:type="dxa" w:w="483"/>
                  <w:tcBorders>
                    <w:top w:val="none" w:color="000000" w:sz="4"/>
                    <w:left w:val="none" w:color="000000" w:sz="4"/>
                    <w:bottom w:val="single" w:color="000000" w:sz="4"/>
                    <w:right w:val="single" w:color="000000" w:sz="4"/>
                  </w:tcBorders>
                  <w:vAlign w:val="top"/>
                </w:tcPr>
                <w:p>
                  <w:pPr>
                    <w:jc w:val="center"/>
                  </w:pPr>
                  <w:r>
                    <w:rPr>
                      <w:sz w:val="21"/>
                    </w:rPr>
                    <w:t>3</w:t>
                  </w:r>
                </w:p>
              </w:tc>
              <w:tc>
                <w:tcPr>
                  <w:tcW w:type="dxa" w:w="528"/>
                  <w:tcBorders>
                    <w:top w:val="none" w:color="000000" w:sz="4"/>
                    <w:left w:val="none" w:color="000000" w:sz="4"/>
                    <w:bottom w:val="single" w:color="000000" w:sz="4"/>
                    <w:right w:val="single" w:color="000000" w:sz="4"/>
                  </w:tcBorders>
                  <w:vAlign w:val="top"/>
                </w:tcPr>
                <w:p>
                  <w:pPr>
                    <w:jc w:val="left"/>
                  </w:pPr>
                  <w:r>
                    <w:rPr>
                      <w:sz w:val="21"/>
                    </w:rPr>
                    <w:t>套</w:t>
                  </w:r>
                </w:p>
              </w:tc>
            </w:tr>
            <w:tr>
              <w:tc>
                <w:tcPr>
                  <w:tcW w:type="dxa" w:w="513"/>
                  <w:tcBorders>
                    <w:top w:val="none" w:color="000000" w:sz="4"/>
                    <w:left w:val="single" w:color="000000" w:sz="4"/>
                    <w:bottom w:val="single" w:color="000000" w:sz="4"/>
                    <w:right w:val="single" w:color="000000" w:sz="4"/>
                  </w:tcBorders>
                  <w:vAlign w:val="top"/>
                </w:tcPr>
                <w:p>
                  <w:pPr>
                    <w:jc w:val="both"/>
                  </w:pPr>
                  <w:r>
                    <w:rPr>
                      <w:sz w:val="21"/>
                    </w:rPr>
                    <w:t>17</w:t>
                  </w:r>
                </w:p>
              </w:tc>
              <w:tc>
                <w:tcPr>
                  <w:tcW w:type="dxa" w:w="1207"/>
                  <w:tcBorders>
                    <w:top w:val="none" w:color="000000" w:sz="4"/>
                    <w:left w:val="none" w:color="000000" w:sz="4"/>
                    <w:bottom w:val="single" w:color="000000" w:sz="4"/>
                    <w:right w:val="single" w:color="000000" w:sz="4"/>
                  </w:tcBorders>
                  <w:vAlign w:val="top"/>
                </w:tcPr>
                <w:p>
                  <w:pPr>
                    <w:jc w:val="left"/>
                  </w:pPr>
                  <w:r>
                    <w:rPr>
                      <w:sz w:val="21"/>
                    </w:rPr>
                    <w:t>0.25</w:t>
                  </w:r>
                  <w:r>
                    <w:rPr>
                      <w:sz w:val="21"/>
                    </w:rPr>
                    <w:t>泄压口</w:t>
                  </w:r>
                  <w:r>
                    <w:rPr>
                      <w:sz w:val="21"/>
                    </w:rPr>
                    <w:t>(</w:t>
                  </w:r>
                  <w:r>
                    <w:rPr>
                      <w:sz w:val="21"/>
                    </w:rPr>
                    <w:t>不包开孔</w:t>
                  </w:r>
                  <w:r>
                    <w:rPr>
                      <w:sz w:val="21"/>
                    </w:rPr>
                    <w:t>)</w:t>
                  </w:r>
                </w:p>
              </w:tc>
              <w:tc>
                <w:tcPr>
                  <w:tcW w:type="dxa" w:w="2867"/>
                  <w:tcBorders>
                    <w:top w:val="none" w:color="000000" w:sz="4"/>
                    <w:left w:val="none" w:color="000000" w:sz="4"/>
                    <w:bottom w:val="single" w:color="000000" w:sz="4"/>
                    <w:right w:val="single" w:color="000000" w:sz="4"/>
                  </w:tcBorders>
                  <w:vAlign w:val="top"/>
                </w:tcPr>
                <w:p>
                  <w:pPr>
                    <w:jc w:val="left"/>
                  </w:pPr>
                  <w:r>
                    <w:rPr>
                      <w:sz w:val="21"/>
                    </w:rPr>
                    <w:t>主体材质：冷轧钢板制成；</w:t>
                  </w:r>
                </w:p>
                <w:p>
                  <w:pPr>
                    <w:jc w:val="left"/>
                  </w:pPr>
                  <w:r>
                    <w:rPr>
                      <w:sz w:val="21"/>
                    </w:rPr>
                    <w:t>规格：</w:t>
                  </w:r>
                  <w:r>
                    <w:rPr>
                      <w:sz w:val="21"/>
                    </w:rPr>
                    <w:t>840*400mm</w:t>
                  </w:r>
                </w:p>
                <w:p>
                  <w:pPr>
                    <w:jc w:val="left"/>
                  </w:pPr>
                  <w:r>
                    <w:rPr>
                      <w:sz w:val="21"/>
                    </w:rPr>
                    <w:t>防护要求：平时呈关闭状态，当气体喷放时产生的压力超过承受压力将超压部分泄放；</w:t>
                  </w:r>
                </w:p>
                <w:p>
                  <w:pPr>
                    <w:jc w:val="left"/>
                  </w:pPr>
                  <w:r>
                    <w:rPr>
                      <w:sz w:val="21"/>
                    </w:rPr>
                    <w:t>执行标准：动作压力</w:t>
                  </w:r>
                  <w:r>
                    <w:rPr>
                      <w:sz w:val="21"/>
                    </w:rPr>
                    <w:t>1000Pa±50 Pa</w:t>
                  </w:r>
                  <w:r>
                    <w:rPr>
                      <w:sz w:val="21"/>
                    </w:rPr>
                    <w:t>、关闭压力</w:t>
                  </w:r>
                  <w:r>
                    <w:rPr>
                      <w:sz w:val="21"/>
                    </w:rPr>
                    <w:t>850Pa±50 Pa</w:t>
                  </w:r>
                </w:p>
              </w:tc>
              <w:tc>
                <w:tcPr>
                  <w:tcW w:type="dxa" w:w="483"/>
                  <w:tcBorders>
                    <w:top w:val="none" w:color="000000" w:sz="4"/>
                    <w:left w:val="none" w:color="000000" w:sz="4"/>
                    <w:bottom w:val="single" w:color="000000" w:sz="4"/>
                    <w:right w:val="single" w:color="000000" w:sz="4"/>
                  </w:tcBorders>
                  <w:vAlign w:val="top"/>
                </w:tcPr>
                <w:p>
                  <w:pPr>
                    <w:jc w:val="center"/>
                  </w:pPr>
                  <w:r>
                    <w:rPr>
                      <w:sz w:val="21"/>
                    </w:rPr>
                    <w:t>1</w:t>
                  </w:r>
                </w:p>
              </w:tc>
              <w:tc>
                <w:tcPr>
                  <w:tcW w:type="dxa" w:w="528"/>
                  <w:tcBorders>
                    <w:top w:val="none" w:color="000000" w:sz="4"/>
                    <w:left w:val="none" w:color="000000" w:sz="4"/>
                    <w:bottom w:val="single" w:color="000000" w:sz="4"/>
                    <w:right w:val="single" w:color="000000" w:sz="4"/>
                  </w:tcBorders>
                  <w:vAlign w:val="top"/>
                </w:tcPr>
                <w:p>
                  <w:pPr>
                    <w:jc w:val="left"/>
                  </w:pPr>
                  <w:r>
                    <w:rPr>
                      <w:sz w:val="21"/>
                    </w:rPr>
                    <w:t>台</w:t>
                  </w:r>
                </w:p>
              </w:tc>
            </w:tr>
            <w:tr>
              <w:tc>
                <w:tcPr>
                  <w:tcW w:type="dxa" w:w="513"/>
                  <w:tcBorders>
                    <w:top w:val="none" w:color="000000" w:sz="4"/>
                    <w:left w:val="single" w:color="000000" w:sz="4"/>
                    <w:bottom w:val="single" w:color="000000" w:sz="4"/>
                    <w:right w:val="single" w:color="000000" w:sz="4"/>
                  </w:tcBorders>
                  <w:vAlign w:val="top"/>
                </w:tcPr>
                <w:p>
                  <w:pPr>
                    <w:jc w:val="both"/>
                  </w:pPr>
                  <w:r>
                    <w:rPr>
                      <w:sz w:val="21"/>
                    </w:rPr>
                    <w:t>18</w:t>
                  </w:r>
                </w:p>
              </w:tc>
              <w:tc>
                <w:tcPr>
                  <w:tcW w:type="dxa" w:w="1207"/>
                  <w:tcBorders>
                    <w:top w:val="none" w:color="000000" w:sz="4"/>
                    <w:left w:val="none" w:color="000000" w:sz="4"/>
                    <w:bottom w:val="single" w:color="000000" w:sz="4"/>
                    <w:right w:val="single" w:color="000000" w:sz="4"/>
                  </w:tcBorders>
                  <w:vAlign w:val="top"/>
                </w:tcPr>
                <w:p>
                  <w:pPr>
                    <w:jc w:val="left"/>
                  </w:pPr>
                  <w:r>
                    <w:rPr>
                      <w:sz w:val="21"/>
                    </w:rPr>
                    <w:t>120L</w:t>
                  </w:r>
                  <w:r>
                    <w:rPr>
                      <w:sz w:val="21"/>
                    </w:rPr>
                    <w:t>柜式灭火装置</w:t>
                  </w:r>
                </w:p>
              </w:tc>
              <w:tc>
                <w:tcPr>
                  <w:tcW w:type="dxa" w:w="2867"/>
                  <w:tcBorders>
                    <w:top w:val="none" w:color="000000" w:sz="4"/>
                    <w:left w:val="none" w:color="000000" w:sz="4"/>
                    <w:bottom w:val="single" w:color="000000" w:sz="4"/>
                    <w:right w:val="single" w:color="000000" w:sz="4"/>
                  </w:tcBorders>
                  <w:vAlign w:val="top"/>
                </w:tcPr>
                <w:p>
                  <w:pPr>
                    <w:jc w:val="left"/>
                  </w:pPr>
                  <w:r>
                    <w:rPr>
                      <w:sz w:val="21"/>
                    </w:rPr>
                    <w:t>1.</w:t>
                  </w:r>
                  <w:r>
                    <w:rPr>
                      <w:sz w:val="21"/>
                    </w:rPr>
                    <w:t>灭火形式：全淹没式</w:t>
                  </w:r>
                </w:p>
                <w:p>
                  <w:pPr>
                    <w:jc w:val="left"/>
                  </w:pPr>
                  <w:r>
                    <w:rPr>
                      <w:sz w:val="21"/>
                    </w:rPr>
                    <w:t>2.</w:t>
                  </w:r>
                  <w:r>
                    <w:rPr>
                      <w:sz w:val="21"/>
                    </w:rPr>
                    <w:t>充装密度：</w:t>
                  </w:r>
                  <w:r>
                    <w:rPr>
                      <w:sz w:val="21"/>
                    </w:rPr>
                    <w:t>≤1120kg/L</w:t>
                  </w:r>
                </w:p>
                <w:p>
                  <w:pPr>
                    <w:jc w:val="left"/>
                  </w:pPr>
                  <w:r>
                    <w:rPr>
                      <w:sz w:val="21"/>
                    </w:rPr>
                    <w:t>3.</w:t>
                  </w:r>
                  <w:r>
                    <w:rPr>
                      <w:sz w:val="21"/>
                    </w:rPr>
                    <w:t>充装压力（</w:t>
                  </w:r>
                  <w:r>
                    <w:rPr>
                      <w:sz w:val="21"/>
                    </w:rPr>
                    <w:t>20℃</w:t>
                  </w:r>
                  <w:r>
                    <w:rPr>
                      <w:sz w:val="21"/>
                    </w:rPr>
                    <w:t>）：</w:t>
                  </w:r>
                  <w:r>
                    <w:rPr>
                      <w:sz w:val="21"/>
                    </w:rPr>
                    <w:t>2.5MPa</w:t>
                  </w:r>
                </w:p>
                <w:p>
                  <w:pPr>
                    <w:jc w:val="left"/>
                  </w:pPr>
                  <w:r>
                    <w:rPr>
                      <w:sz w:val="21"/>
                    </w:rPr>
                    <w:t>4.</w:t>
                  </w:r>
                  <w:r>
                    <w:rPr>
                      <w:sz w:val="21"/>
                    </w:rPr>
                    <w:t>使用电源：</w:t>
                  </w:r>
                  <w:r>
                    <w:rPr>
                      <w:sz w:val="21"/>
                    </w:rPr>
                    <w:t>DC24V</w:t>
                  </w:r>
                </w:p>
                <w:p>
                  <w:pPr>
                    <w:jc w:val="left"/>
                  </w:pPr>
                  <w:r>
                    <w:rPr>
                      <w:sz w:val="21"/>
                    </w:rPr>
                    <w:t>5.</w:t>
                  </w:r>
                  <w:r>
                    <w:rPr>
                      <w:sz w:val="21"/>
                    </w:rPr>
                    <w:t>启动方式：电启动（</w:t>
                  </w:r>
                  <w:r>
                    <w:rPr>
                      <w:sz w:val="21"/>
                    </w:rPr>
                    <w:t>DC18</w:t>
                  </w:r>
                  <w:r>
                    <w:rPr>
                      <w:sz w:val="21"/>
                    </w:rPr>
                    <w:t>～</w:t>
                  </w:r>
                  <w:r>
                    <w:rPr>
                      <w:sz w:val="21"/>
                    </w:rPr>
                    <w:t>DC24V</w:t>
                  </w:r>
                  <w:r>
                    <w:rPr>
                      <w:sz w:val="21"/>
                    </w:rPr>
                    <w:t>）</w:t>
                  </w:r>
                </w:p>
                <w:p>
                  <w:pPr>
                    <w:jc w:val="left"/>
                  </w:pPr>
                  <w:r>
                    <w:rPr>
                      <w:sz w:val="21"/>
                    </w:rPr>
                    <w:t>6.</w:t>
                  </w:r>
                  <w:r>
                    <w:rPr>
                      <w:sz w:val="21"/>
                    </w:rPr>
                    <w:t>应急机械手动启动：机械操作力</w:t>
                  </w:r>
                  <w:r>
                    <w:rPr>
                      <w:sz w:val="21"/>
                    </w:rPr>
                    <w:t>≤150N</w:t>
                  </w:r>
                </w:p>
                <w:p>
                  <w:pPr>
                    <w:jc w:val="left"/>
                  </w:pPr>
                  <w:r>
                    <w:rPr>
                      <w:sz w:val="21"/>
                    </w:rPr>
                    <w:t>7.</w:t>
                  </w:r>
                  <w:r>
                    <w:rPr>
                      <w:sz w:val="21"/>
                    </w:rPr>
                    <w:t>灭火剂喷放时间：</w:t>
                  </w:r>
                  <w:r>
                    <w:rPr>
                      <w:sz w:val="21"/>
                    </w:rPr>
                    <w:t xml:space="preserve">≤10s     </w:t>
                  </w:r>
                </w:p>
                <w:p>
                  <w:pPr>
                    <w:jc w:val="left"/>
                  </w:pPr>
                  <w:r>
                    <w:rPr>
                      <w:sz w:val="21"/>
                    </w:rPr>
                    <w:t>8.GQQ120/2.5-QIYU</w:t>
                  </w:r>
                  <w:r>
                    <w:rPr>
                      <w:sz w:val="21"/>
                    </w:rPr>
                    <w:t>。</w:t>
                  </w:r>
                </w:p>
                <w:p>
                  <w:pPr>
                    <w:jc w:val="left"/>
                  </w:pPr>
                  <w:r>
                    <w:rPr>
                      <w:sz w:val="21"/>
                    </w:rPr>
                    <w:t>9.</w:t>
                  </w:r>
                  <w:r>
                    <w:rPr>
                      <w:sz w:val="21"/>
                    </w:rPr>
                    <w:t>外形尺寸长</w:t>
                  </w:r>
                  <w:r>
                    <w:rPr>
                      <w:sz w:val="21"/>
                    </w:rPr>
                    <w:t>500*</w:t>
                  </w:r>
                  <w:r>
                    <w:rPr>
                      <w:sz w:val="21"/>
                    </w:rPr>
                    <w:t>宽</w:t>
                  </w:r>
                  <w:r>
                    <w:rPr>
                      <w:sz w:val="21"/>
                    </w:rPr>
                    <w:t>450*</w:t>
                  </w:r>
                  <w:r>
                    <w:rPr>
                      <w:sz w:val="21"/>
                    </w:rPr>
                    <w:t>高</w:t>
                  </w:r>
                  <w:r>
                    <w:rPr>
                      <w:sz w:val="21"/>
                    </w:rPr>
                    <w:t>1950mm</w:t>
                  </w:r>
                  <w:r>
                    <w:rPr>
                      <w:sz w:val="21"/>
                    </w:rPr>
                    <w:t>，钢瓶内径：</w:t>
                  </w:r>
                  <w:r>
                    <w:rPr>
                      <w:sz w:val="21"/>
                    </w:rPr>
                    <w:t>350</w:t>
                  </w:r>
                  <w:r>
                    <w:rPr>
                      <w:sz w:val="21"/>
                    </w:rPr>
                    <w:t>、 高度：</w:t>
                  </w:r>
                  <w:r>
                    <w:rPr>
                      <w:sz w:val="21"/>
                    </w:rPr>
                    <w:t>1430</w:t>
                  </w:r>
                  <w:r>
                    <w:rPr>
                      <w:sz w:val="21"/>
                    </w:rPr>
                    <w:t>、重量</w:t>
                  </w:r>
                  <w:r>
                    <w:rPr>
                      <w:sz w:val="21"/>
                    </w:rPr>
                    <w:t>72</w:t>
                  </w:r>
                  <w:r>
                    <w:rPr>
                      <w:sz w:val="21"/>
                    </w:rPr>
                    <w:t>公斤、壁厚</w:t>
                  </w:r>
                  <w:r>
                    <w:rPr>
                      <w:sz w:val="21"/>
                    </w:rPr>
                    <w:t>5.2mm</w:t>
                  </w:r>
                </w:p>
              </w:tc>
              <w:tc>
                <w:tcPr>
                  <w:tcW w:type="dxa" w:w="483"/>
                  <w:tcBorders>
                    <w:top w:val="none" w:color="000000" w:sz="4"/>
                    <w:left w:val="none" w:color="000000" w:sz="4"/>
                    <w:bottom w:val="single" w:color="000000" w:sz="4"/>
                    <w:right w:val="single" w:color="000000" w:sz="4"/>
                  </w:tcBorders>
                  <w:vAlign w:val="top"/>
                </w:tcPr>
                <w:p>
                  <w:pPr>
                    <w:jc w:val="center"/>
                  </w:pPr>
                  <w:r>
                    <w:rPr>
                      <w:sz w:val="21"/>
                    </w:rPr>
                    <w:t>5</w:t>
                  </w:r>
                </w:p>
              </w:tc>
              <w:tc>
                <w:tcPr>
                  <w:tcW w:type="dxa" w:w="528"/>
                  <w:tcBorders>
                    <w:top w:val="none" w:color="000000" w:sz="4"/>
                    <w:left w:val="none" w:color="000000" w:sz="4"/>
                    <w:bottom w:val="single" w:color="000000" w:sz="4"/>
                    <w:right w:val="single" w:color="000000" w:sz="4"/>
                  </w:tcBorders>
                  <w:vAlign w:val="top"/>
                </w:tcPr>
                <w:p>
                  <w:pPr>
                    <w:jc w:val="left"/>
                  </w:pPr>
                  <w:r>
                    <w:rPr>
                      <w:sz w:val="21"/>
                    </w:rPr>
                    <w:t>套</w:t>
                  </w:r>
                </w:p>
              </w:tc>
            </w:tr>
            <w:tr>
              <w:tc>
                <w:tcPr>
                  <w:tcW w:type="dxa" w:w="513"/>
                  <w:tcBorders>
                    <w:top w:val="none" w:color="000000" w:sz="4"/>
                    <w:left w:val="single" w:color="000000" w:sz="4"/>
                    <w:bottom w:val="single" w:color="000000" w:sz="4"/>
                    <w:right w:val="single" w:color="000000" w:sz="4"/>
                  </w:tcBorders>
                  <w:vAlign w:val="top"/>
                </w:tcPr>
                <w:p>
                  <w:pPr>
                    <w:jc w:val="both"/>
                  </w:pPr>
                  <w:r>
                    <w:rPr>
                      <w:sz w:val="21"/>
                    </w:rPr>
                    <w:t>19</w:t>
                  </w:r>
                </w:p>
              </w:tc>
              <w:tc>
                <w:tcPr>
                  <w:tcW w:type="dxa" w:w="1207"/>
                  <w:tcBorders>
                    <w:top w:val="none" w:color="000000" w:sz="4"/>
                    <w:left w:val="none" w:color="000000" w:sz="4"/>
                    <w:bottom w:val="single" w:color="000000" w:sz="4"/>
                    <w:right w:val="single" w:color="000000" w:sz="4"/>
                  </w:tcBorders>
                  <w:vAlign w:val="top"/>
                </w:tcPr>
                <w:p>
                  <w:pPr>
                    <w:jc w:val="left"/>
                  </w:pPr>
                  <w:r>
                    <w:rPr>
                      <w:sz w:val="21"/>
                    </w:rPr>
                    <w:t>0.07</w:t>
                  </w:r>
                  <w:r>
                    <w:rPr>
                      <w:sz w:val="21"/>
                    </w:rPr>
                    <w:t>泄压口</w:t>
                  </w:r>
                  <w:r>
                    <w:rPr>
                      <w:sz w:val="21"/>
                    </w:rPr>
                    <w:t>(</w:t>
                  </w:r>
                  <w:r>
                    <w:rPr>
                      <w:sz w:val="21"/>
                    </w:rPr>
                    <w:t>不包开孔</w:t>
                  </w:r>
                  <w:r>
                    <w:rPr>
                      <w:sz w:val="21"/>
                    </w:rPr>
                    <w:t>)</w:t>
                  </w:r>
                </w:p>
              </w:tc>
              <w:tc>
                <w:tcPr>
                  <w:tcW w:type="dxa" w:w="2867"/>
                  <w:tcBorders>
                    <w:top w:val="none" w:color="000000" w:sz="4"/>
                    <w:left w:val="none" w:color="000000" w:sz="4"/>
                    <w:bottom w:val="single" w:color="000000" w:sz="4"/>
                    <w:right w:val="single" w:color="000000" w:sz="4"/>
                  </w:tcBorders>
                  <w:vAlign w:val="top"/>
                </w:tcPr>
                <w:p>
                  <w:pPr>
                    <w:jc w:val="left"/>
                  </w:pPr>
                  <w:r>
                    <w:rPr>
                      <w:sz w:val="21"/>
                    </w:rPr>
                    <w:t>主体材质：冷轧钢板制成；</w:t>
                  </w:r>
                </w:p>
                <w:p>
                  <w:pPr>
                    <w:jc w:val="left"/>
                  </w:pPr>
                  <w:r>
                    <w:rPr>
                      <w:sz w:val="21"/>
                    </w:rPr>
                    <w:t>规格：</w:t>
                  </w:r>
                  <w:r>
                    <w:rPr>
                      <w:sz w:val="21"/>
                    </w:rPr>
                    <w:t>300*300mm</w:t>
                  </w:r>
                  <w:r>
                    <w:rPr>
                      <w:sz w:val="21"/>
                    </w:rPr>
                    <w:t>；</w:t>
                  </w:r>
                </w:p>
                <w:p>
                  <w:pPr>
                    <w:jc w:val="left"/>
                  </w:pPr>
                  <w:r>
                    <w:rPr>
                      <w:sz w:val="21"/>
                    </w:rPr>
                    <w:t>防护要求：平时呈关闭状态，当气体喷放时产生的压力超过承受压力将超压部分泄放；</w:t>
                  </w:r>
                </w:p>
                <w:p>
                  <w:pPr>
                    <w:jc w:val="left"/>
                  </w:pPr>
                  <w:r>
                    <w:rPr>
                      <w:sz w:val="21"/>
                    </w:rPr>
                    <w:t>执行标准：动作压力</w:t>
                  </w:r>
                  <w:r>
                    <w:rPr>
                      <w:sz w:val="21"/>
                    </w:rPr>
                    <w:t>1000Pa±50 Pa</w:t>
                  </w:r>
                  <w:r>
                    <w:rPr>
                      <w:sz w:val="21"/>
                    </w:rPr>
                    <w:t>、关闭压力</w:t>
                  </w:r>
                  <w:r>
                    <w:rPr>
                      <w:sz w:val="21"/>
                    </w:rPr>
                    <w:t>850Pa±50 Pa</w:t>
                  </w:r>
                </w:p>
              </w:tc>
              <w:tc>
                <w:tcPr>
                  <w:tcW w:type="dxa" w:w="483"/>
                  <w:tcBorders>
                    <w:top w:val="none" w:color="000000" w:sz="4"/>
                    <w:left w:val="none" w:color="000000" w:sz="4"/>
                    <w:bottom w:val="single" w:color="000000" w:sz="4"/>
                    <w:right w:val="single" w:color="000000" w:sz="4"/>
                  </w:tcBorders>
                  <w:vAlign w:val="top"/>
                </w:tcPr>
                <w:p>
                  <w:pPr>
                    <w:jc w:val="center"/>
                  </w:pPr>
                  <w:r>
                    <w:rPr>
                      <w:sz w:val="21"/>
                    </w:rPr>
                    <w:t>1</w:t>
                  </w:r>
                </w:p>
              </w:tc>
              <w:tc>
                <w:tcPr>
                  <w:tcW w:type="dxa" w:w="528"/>
                  <w:tcBorders>
                    <w:top w:val="none" w:color="000000" w:sz="4"/>
                    <w:left w:val="none" w:color="000000" w:sz="4"/>
                    <w:bottom w:val="single" w:color="000000" w:sz="4"/>
                    <w:right w:val="single" w:color="000000" w:sz="4"/>
                  </w:tcBorders>
                  <w:vAlign w:val="top"/>
                </w:tcPr>
                <w:p>
                  <w:pPr>
                    <w:jc w:val="center"/>
                  </w:pPr>
                  <w:r>
                    <w:rPr>
                      <w:sz w:val="21"/>
                    </w:rPr>
                    <w:t>台</w:t>
                  </w:r>
                </w:p>
              </w:tc>
            </w:tr>
            <w:tr>
              <w:tc>
                <w:tcPr>
                  <w:tcW w:type="dxa" w:w="513"/>
                  <w:tcBorders>
                    <w:top w:val="none" w:color="000000" w:sz="4"/>
                    <w:left w:val="single" w:color="000000" w:sz="4"/>
                    <w:bottom w:val="single" w:color="000000" w:sz="4"/>
                    <w:right w:val="single" w:color="000000" w:sz="4"/>
                  </w:tcBorders>
                  <w:vAlign w:val="top"/>
                </w:tcPr>
                <w:p>
                  <w:pPr>
                    <w:jc w:val="both"/>
                  </w:pPr>
                  <w:r>
                    <w:rPr>
                      <w:sz w:val="21"/>
                    </w:rPr>
                    <w:t>20</w:t>
                  </w:r>
                </w:p>
              </w:tc>
              <w:tc>
                <w:tcPr>
                  <w:tcW w:type="dxa" w:w="1207"/>
                  <w:tcBorders>
                    <w:top w:val="none" w:color="000000" w:sz="4"/>
                    <w:left w:val="none" w:color="000000" w:sz="4"/>
                    <w:bottom w:val="single" w:color="000000" w:sz="4"/>
                    <w:right w:val="single" w:color="000000" w:sz="4"/>
                  </w:tcBorders>
                  <w:vAlign w:val="top"/>
                </w:tcPr>
                <w:p>
                  <w:pPr>
                    <w:jc w:val="left"/>
                  </w:pPr>
                  <w:r>
                    <w:rPr>
                      <w:sz w:val="21"/>
                    </w:rPr>
                    <w:t>0.25</w:t>
                  </w:r>
                  <w:r>
                    <w:rPr>
                      <w:sz w:val="21"/>
                    </w:rPr>
                    <w:t>泄压口</w:t>
                  </w:r>
                  <w:r>
                    <w:rPr>
                      <w:sz w:val="21"/>
                    </w:rPr>
                    <w:t>(</w:t>
                  </w:r>
                  <w:r>
                    <w:rPr>
                      <w:sz w:val="21"/>
                    </w:rPr>
                    <w:t>不包开孔</w:t>
                  </w:r>
                  <w:r>
                    <w:rPr>
                      <w:sz w:val="21"/>
                    </w:rPr>
                    <w:t>)</w:t>
                  </w:r>
                </w:p>
              </w:tc>
              <w:tc>
                <w:tcPr>
                  <w:tcW w:type="dxa" w:w="2867"/>
                  <w:tcBorders>
                    <w:top w:val="none" w:color="000000" w:sz="4"/>
                    <w:left w:val="none" w:color="000000" w:sz="4"/>
                    <w:bottom w:val="single" w:color="000000" w:sz="4"/>
                    <w:right w:val="single" w:color="000000" w:sz="4"/>
                  </w:tcBorders>
                  <w:vAlign w:val="top"/>
                </w:tcPr>
                <w:p>
                  <w:pPr>
                    <w:jc w:val="left"/>
                  </w:pPr>
                  <w:r>
                    <w:rPr>
                      <w:sz w:val="21"/>
                    </w:rPr>
                    <w:t>主体材质：冷轧钢板制成；</w:t>
                  </w:r>
                </w:p>
                <w:p>
                  <w:pPr>
                    <w:jc w:val="left"/>
                  </w:pPr>
                  <w:r>
                    <w:rPr>
                      <w:sz w:val="21"/>
                    </w:rPr>
                    <w:t>规格：</w:t>
                  </w:r>
                  <w:r>
                    <w:rPr>
                      <w:sz w:val="21"/>
                    </w:rPr>
                    <w:t>840*400mm</w:t>
                  </w:r>
                  <w:r>
                    <w:rPr>
                      <w:sz w:val="21"/>
                    </w:rPr>
                    <w:t>；</w:t>
                  </w:r>
                </w:p>
                <w:p>
                  <w:pPr>
                    <w:jc w:val="left"/>
                  </w:pPr>
                  <w:r>
                    <w:rPr>
                      <w:sz w:val="21"/>
                    </w:rPr>
                    <w:t>防护要求：平时呈关闭状态，当气体喷放时产生的压力超过承受压力将超压部分泄放；</w:t>
                  </w:r>
                </w:p>
                <w:p>
                  <w:pPr>
                    <w:jc w:val="left"/>
                  </w:pPr>
                  <w:r>
                    <w:rPr>
                      <w:sz w:val="21"/>
                    </w:rPr>
                    <w:t>执行标准：动作压力</w:t>
                  </w:r>
                  <w:r>
                    <w:rPr>
                      <w:sz w:val="21"/>
                    </w:rPr>
                    <w:t>1000Pa±50 Pa</w:t>
                  </w:r>
                  <w:r>
                    <w:rPr>
                      <w:sz w:val="21"/>
                    </w:rPr>
                    <w:t>、关闭压力</w:t>
                  </w:r>
                  <w:r>
                    <w:rPr>
                      <w:sz w:val="21"/>
                    </w:rPr>
                    <w:t>850Pa±50 Pa</w:t>
                  </w:r>
                </w:p>
              </w:tc>
              <w:tc>
                <w:tcPr>
                  <w:tcW w:type="dxa" w:w="483"/>
                  <w:tcBorders>
                    <w:top w:val="none" w:color="000000" w:sz="4"/>
                    <w:left w:val="none" w:color="000000" w:sz="4"/>
                    <w:bottom w:val="single" w:color="000000" w:sz="4"/>
                    <w:right w:val="single" w:color="000000" w:sz="4"/>
                  </w:tcBorders>
                  <w:vAlign w:val="top"/>
                </w:tcPr>
                <w:p>
                  <w:pPr>
                    <w:jc w:val="center"/>
                  </w:pPr>
                  <w:r>
                    <w:rPr>
                      <w:sz w:val="21"/>
                    </w:rPr>
                    <w:t>1</w:t>
                  </w:r>
                </w:p>
              </w:tc>
              <w:tc>
                <w:tcPr>
                  <w:tcW w:type="dxa" w:w="528"/>
                  <w:tcBorders>
                    <w:top w:val="none" w:color="000000" w:sz="4"/>
                    <w:left w:val="none" w:color="000000" w:sz="4"/>
                    <w:bottom w:val="single" w:color="000000" w:sz="4"/>
                    <w:right w:val="single" w:color="000000" w:sz="4"/>
                  </w:tcBorders>
                  <w:vAlign w:val="top"/>
                </w:tcPr>
                <w:p>
                  <w:pPr>
                    <w:jc w:val="center"/>
                  </w:pPr>
                  <w:r>
                    <w:rPr>
                      <w:sz w:val="21"/>
                    </w:rPr>
                    <w:t>台</w:t>
                  </w:r>
                </w:p>
              </w:tc>
            </w:tr>
            <w:tr>
              <w:tc>
                <w:tcPr>
                  <w:tcW w:type="dxa" w:w="513"/>
                  <w:tcBorders>
                    <w:top w:val="none" w:color="000000" w:sz="4"/>
                    <w:left w:val="single" w:color="000000" w:sz="4"/>
                    <w:bottom w:val="single" w:color="000000" w:sz="4"/>
                    <w:right w:val="single" w:color="000000" w:sz="4"/>
                  </w:tcBorders>
                  <w:vAlign w:val="top"/>
                </w:tcPr>
                <w:p>
                  <w:pPr>
                    <w:jc w:val="both"/>
                  </w:pPr>
                  <w:r>
                    <w:rPr>
                      <w:sz w:val="21"/>
                    </w:rPr>
                    <w:t>21</w:t>
                  </w:r>
                </w:p>
              </w:tc>
              <w:tc>
                <w:tcPr>
                  <w:tcW w:type="dxa" w:w="1207"/>
                  <w:tcBorders>
                    <w:top w:val="none" w:color="000000" w:sz="4"/>
                    <w:left w:val="none" w:color="000000" w:sz="4"/>
                    <w:bottom w:val="single" w:color="000000" w:sz="4"/>
                    <w:right w:val="single" w:color="000000" w:sz="4"/>
                  </w:tcBorders>
                  <w:vAlign w:val="top"/>
                </w:tcPr>
                <w:p>
                  <w:pPr>
                    <w:jc w:val="left"/>
                  </w:pPr>
                  <w:r>
                    <w:rPr>
                      <w:sz w:val="21"/>
                    </w:rPr>
                    <w:t>七氟丙烷灭火剂</w:t>
                  </w:r>
                </w:p>
              </w:tc>
              <w:tc>
                <w:tcPr>
                  <w:tcW w:type="dxa" w:w="2867"/>
                  <w:tcBorders>
                    <w:top w:val="none" w:color="000000" w:sz="4"/>
                    <w:left w:val="none" w:color="000000" w:sz="4"/>
                    <w:bottom w:val="single" w:color="000000" w:sz="4"/>
                    <w:right w:val="single" w:color="000000" w:sz="4"/>
                  </w:tcBorders>
                  <w:vAlign w:val="top"/>
                </w:tcPr>
                <w:p>
                  <w:pPr>
                    <w:jc w:val="left"/>
                  </w:pPr>
                  <w:r>
                    <w:rPr>
                      <w:sz w:val="21"/>
                    </w:rPr>
                    <w:t>1.</w:t>
                  </w:r>
                  <w:r>
                    <w:rPr>
                      <w:sz w:val="21"/>
                    </w:rPr>
                    <w:t>七氟丙烷充装密度：</w:t>
                  </w:r>
                  <w:r>
                    <w:rPr>
                      <w:sz w:val="21"/>
                    </w:rPr>
                    <w:t>≤1120 kg/m³</w:t>
                  </w:r>
                </w:p>
                <w:p>
                  <w:pPr>
                    <w:jc w:val="left"/>
                  </w:pPr>
                  <w:r>
                    <w:rPr>
                      <w:sz w:val="21"/>
                    </w:rPr>
                    <w:t>2.</w:t>
                  </w:r>
                  <w:r>
                    <w:rPr>
                      <w:sz w:val="21"/>
                    </w:rPr>
                    <w:t>储瓶压力</w:t>
                  </w:r>
                  <w:r>
                    <w:rPr>
                      <w:sz w:val="21"/>
                    </w:rPr>
                    <w:t>(20℃</w:t>
                  </w:r>
                  <w:r>
                    <w:rPr>
                      <w:sz w:val="21"/>
                    </w:rPr>
                    <w:t>时</w:t>
                  </w:r>
                  <w:r>
                    <w:rPr>
                      <w:sz w:val="21"/>
                    </w:rPr>
                    <w:t>)</w:t>
                  </w:r>
                  <w:r>
                    <w:rPr>
                      <w:sz w:val="21"/>
                    </w:rPr>
                    <w:t>：</w:t>
                  </w:r>
                  <w:r>
                    <w:rPr>
                      <w:sz w:val="21"/>
                    </w:rPr>
                    <w:t>2.5MPa</w:t>
                  </w:r>
                </w:p>
                <w:p>
                  <w:pPr>
                    <w:jc w:val="left"/>
                  </w:pPr>
                  <w:r>
                    <w:rPr>
                      <w:sz w:val="21"/>
                    </w:rPr>
                    <w:t>3.</w:t>
                  </w:r>
                  <w:r>
                    <w:rPr>
                      <w:sz w:val="21"/>
                    </w:rPr>
                    <w:t>系统最大使用工作压力：</w:t>
                  </w:r>
                  <w:r>
                    <w:rPr>
                      <w:sz w:val="21"/>
                    </w:rPr>
                    <w:t>4.2MPa</w:t>
                  </w:r>
                </w:p>
                <w:p>
                  <w:pPr>
                    <w:jc w:val="left"/>
                  </w:pPr>
                  <w:r>
                    <w:rPr>
                      <w:sz w:val="21"/>
                    </w:rPr>
                    <w:t>4.</w:t>
                  </w:r>
                  <w:r>
                    <w:rPr>
                      <w:sz w:val="21"/>
                    </w:rPr>
                    <w:t>灭火剂喷射时间：</w:t>
                  </w:r>
                  <w:r>
                    <w:rPr>
                      <w:sz w:val="21"/>
                    </w:rPr>
                    <w:t>≤8s</w:t>
                  </w:r>
                </w:p>
                <w:p>
                  <w:pPr>
                    <w:jc w:val="left"/>
                  </w:pPr>
                  <w:r>
                    <w:rPr>
                      <w:sz w:val="21"/>
                    </w:rPr>
                    <w:t>5.</w:t>
                  </w:r>
                  <w:r>
                    <w:rPr>
                      <w:sz w:val="21"/>
                    </w:rPr>
                    <w:t>使用环境温度：</w:t>
                  </w:r>
                  <w:r>
                    <w:rPr>
                      <w:sz w:val="21"/>
                    </w:rPr>
                    <w:t>0~50℃</w:t>
                  </w:r>
                </w:p>
                <w:p>
                  <w:pPr>
                    <w:jc w:val="left"/>
                  </w:pPr>
                  <w:r>
                    <w:rPr>
                      <w:sz w:val="21"/>
                    </w:rPr>
                    <w:t>6.</w:t>
                  </w:r>
                  <w:r>
                    <w:rPr>
                      <w:sz w:val="21"/>
                    </w:rPr>
                    <w:t>保护区最低环境温度：</w:t>
                  </w:r>
                  <w:r>
                    <w:rPr>
                      <w:sz w:val="21"/>
                    </w:rPr>
                    <w:t>0℃</w:t>
                  </w:r>
                </w:p>
                <w:p>
                  <w:pPr>
                    <w:jc w:val="left"/>
                  </w:pPr>
                  <w:r>
                    <w:rPr>
                      <w:sz w:val="21"/>
                    </w:rPr>
                    <w:t>7.</w:t>
                  </w:r>
                  <w:r>
                    <w:rPr>
                      <w:sz w:val="21"/>
                    </w:rPr>
                    <w:t>最大单区保护面积：一个防护区的面积不宜大于</w:t>
                  </w:r>
                  <w:r>
                    <w:rPr>
                      <w:sz w:val="21"/>
                    </w:rPr>
                    <w:t>500</w:t>
                  </w:r>
                  <w:r>
                    <w:rPr>
                      <w:sz w:val="21"/>
                    </w:rPr>
                    <w:t>㎡，且容积不宜大于</w:t>
                  </w:r>
                  <w:r>
                    <w:rPr>
                      <w:sz w:val="21"/>
                    </w:rPr>
                    <w:t>1600 m³</w:t>
                  </w:r>
                  <w:r>
                    <w:rPr>
                      <w:sz w:val="21"/>
                    </w:rPr>
                    <w:t>。</w:t>
                  </w:r>
                </w:p>
                <w:p>
                  <w:pPr>
                    <w:jc w:val="left"/>
                  </w:pPr>
                  <w:r>
                    <w:rPr>
                      <w:sz w:val="21"/>
                    </w:rPr>
                    <w:t>8.</w:t>
                  </w:r>
                  <w:r>
                    <w:rPr>
                      <w:sz w:val="21"/>
                    </w:rPr>
                    <w:t>启动方式：自动、电气手动、机械应急操作。</w:t>
                  </w:r>
                </w:p>
              </w:tc>
              <w:tc>
                <w:tcPr>
                  <w:tcW w:type="dxa" w:w="483"/>
                  <w:tcBorders>
                    <w:top w:val="none" w:color="000000" w:sz="4"/>
                    <w:left w:val="none" w:color="000000" w:sz="4"/>
                    <w:bottom w:val="single" w:color="000000" w:sz="4"/>
                    <w:right w:val="single" w:color="000000" w:sz="4"/>
                  </w:tcBorders>
                  <w:vAlign w:val="top"/>
                </w:tcPr>
                <w:p>
                  <w:pPr>
                    <w:jc w:val="center"/>
                  </w:pPr>
                  <w:r>
                    <w:rPr>
                      <w:sz w:val="21"/>
                    </w:rPr>
                    <w:t>989</w:t>
                  </w:r>
                </w:p>
              </w:tc>
              <w:tc>
                <w:tcPr>
                  <w:tcW w:type="dxa" w:w="528"/>
                  <w:tcBorders>
                    <w:top w:val="none" w:color="000000" w:sz="4"/>
                    <w:left w:val="none" w:color="000000" w:sz="4"/>
                    <w:bottom w:val="single" w:color="000000" w:sz="4"/>
                    <w:right w:val="single" w:color="000000" w:sz="4"/>
                  </w:tcBorders>
                  <w:vAlign w:val="top"/>
                </w:tcPr>
                <w:p>
                  <w:pPr>
                    <w:jc w:val="center"/>
                  </w:pPr>
                  <w:r>
                    <w:rPr>
                      <w:sz w:val="21"/>
                    </w:rPr>
                    <w:t>kg</w:t>
                  </w:r>
                </w:p>
              </w:tc>
            </w:tr>
            <w:tr>
              <w:tc>
                <w:tcPr>
                  <w:tcW w:type="dxa" w:w="513"/>
                  <w:tcBorders>
                    <w:top w:val="none" w:color="000000" w:sz="4"/>
                    <w:left w:val="single" w:color="000000" w:sz="4"/>
                    <w:bottom w:val="single" w:color="000000" w:sz="4"/>
                    <w:right w:val="single" w:color="000000" w:sz="4"/>
                  </w:tcBorders>
                  <w:vAlign w:val="top"/>
                </w:tcPr>
                <w:p>
                  <w:pPr>
                    <w:jc w:val="both"/>
                  </w:pPr>
                  <w:r>
                    <w:rPr>
                      <w:sz w:val="21"/>
                    </w:rPr>
                    <w:t>22</w:t>
                  </w:r>
                </w:p>
              </w:tc>
              <w:tc>
                <w:tcPr>
                  <w:tcW w:type="dxa" w:w="1207"/>
                  <w:tcBorders>
                    <w:top w:val="none" w:color="000000" w:sz="4"/>
                    <w:left w:val="none" w:color="000000" w:sz="4"/>
                    <w:bottom w:val="single" w:color="000000" w:sz="4"/>
                    <w:right w:val="single" w:color="000000" w:sz="4"/>
                  </w:tcBorders>
                  <w:vAlign w:val="top"/>
                </w:tcPr>
                <w:p>
                  <w:pPr>
                    <w:jc w:val="left"/>
                  </w:pPr>
                  <w:r>
                    <w:rPr>
                      <w:sz w:val="21"/>
                    </w:rPr>
                    <w:t>灭火控制器（一区）</w:t>
                  </w:r>
                </w:p>
              </w:tc>
              <w:tc>
                <w:tcPr>
                  <w:tcW w:type="dxa" w:w="2867"/>
                  <w:tcBorders>
                    <w:top w:val="none" w:color="000000" w:sz="4"/>
                    <w:left w:val="none" w:color="000000" w:sz="4"/>
                    <w:bottom w:val="single" w:color="000000" w:sz="4"/>
                    <w:right w:val="single" w:color="000000" w:sz="4"/>
                  </w:tcBorders>
                  <w:vAlign w:val="top"/>
                </w:tcPr>
                <w:p>
                  <w:pPr>
                    <w:jc w:val="left"/>
                  </w:pPr>
                  <w:r>
                    <w:rPr>
                      <w:sz w:val="21"/>
                    </w:rPr>
                    <w:t>工作电源：</w:t>
                  </w:r>
                  <w:r>
                    <w:rPr>
                      <w:sz w:val="21"/>
                    </w:rPr>
                    <w:t>AC 220V/50Hz</w:t>
                  </w:r>
                  <w:r>
                    <w:rPr>
                      <w:sz w:val="21"/>
                    </w:rPr>
                    <w:t>；</w:t>
                  </w:r>
                </w:p>
                <w:p>
                  <w:pPr>
                    <w:jc w:val="left"/>
                  </w:pPr>
                  <w:r>
                    <w:rPr>
                      <w:sz w:val="21"/>
                    </w:rPr>
                    <w:t>功率：</w:t>
                  </w:r>
                  <w:r>
                    <w:rPr>
                      <w:sz w:val="21"/>
                    </w:rPr>
                    <w:t>≤120W</w:t>
                  </w:r>
                </w:p>
                <w:p>
                  <w:pPr>
                    <w:jc w:val="left"/>
                  </w:pPr>
                  <w:r>
                    <w:rPr>
                      <w:sz w:val="21"/>
                    </w:rPr>
                    <w:t>备用电池电压</w:t>
                  </w:r>
                  <w:r>
                    <w:rPr>
                      <w:sz w:val="21"/>
                    </w:rPr>
                    <w:t>/</w:t>
                  </w:r>
                  <w:r>
                    <w:rPr>
                      <w:sz w:val="21"/>
                    </w:rPr>
                    <w:t>电流：</w:t>
                  </w:r>
                  <w:r>
                    <w:rPr>
                      <w:sz w:val="21"/>
                    </w:rPr>
                    <w:t>DC 24V</w:t>
                  </w:r>
                  <w:r>
                    <w:rPr>
                      <w:sz w:val="21"/>
                    </w:rPr>
                    <w:t>；</w:t>
                  </w:r>
                </w:p>
                <w:p>
                  <w:pPr>
                    <w:jc w:val="left"/>
                  </w:pPr>
                  <w:r>
                    <w:rPr>
                      <w:sz w:val="21"/>
                    </w:rPr>
                    <w:t>电磁驱动电流：</w:t>
                  </w:r>
                  <w:r>
                    <w:rPr>
                      <w:sz w:val="21"/>
                    </w:rPr>
                    <w:t>≦1.6A</w:t>
                  </w:r>
                </w:p>
                <w:p>
                  <w:pPr>
                    <w:jc w:val="left"/>
                  </w:pPr>
                  <w:r>
                    <w:rPr>
                      <w:sz w:val="21"/>
                    </w:rPr>
                    <w:t>容量：</w:t>
                  </w:r>
                  <w:r>
                    <w:rPr>
                      <w:sz w:val="21"/>
                    </w:rPr>
                    <w:t>2</w:t>
                  </w:r>
                  <w:r>
                    <w:rPr>
                      <w:sz w:val="21"/>
                    </w:rPr>
                    <w:t>个回路，每个回路探测器</w:t>
                  </w:r>
                  <w:r>
                    <w:rPr>
                      <w:sz w:val="21"/>
                    </w:rPr>
                    <w:t>≤20</w:t>
                  </w:r>
                  <w:r>
                    <w:rPr>
                      <w:sz w:val="21"/>
                    </w:rPr>
                    <w:t>个</w:t>
                  </w:r>
                </w:p>
                <w:p>
                  <w:pPr>
                    <w:jc w:val="left"/>
                  </w:pPr>
                  <w:r>
                    <w:rPr>
                      <w:sz w:val="21"/>
                    </w:rPr>
                    <w:t>长</w:t>
                  </w:r>
                  <w:r>
                    <w:rPr>
                      <w:sz w:val="21"/>
                    </w:rPr>
                    <w:t>330*</w:t>
                  </w:r>
                  <w:r>
                    <w:rPr>
                      <w:sz w:val="21"/>
                    </w:rPr>
                    <w:t>宽</w:t>
                  </w:r>
                  <w:r>
                    <w:rPr>
                      <w:sz w:val="21"/>
                    </w:rPr>
                    <w:t>94*</w:t>
                  </w:r>
                  <w:r>
                    <w:rPr>
                      <w:sz w:val="21"/>
                    </w:rPr>
                    <w:t>高</w:t>
                  </w:r>
                  <w:r>
                    <w:rPr>
                      <w:sz w:val="21"/>
                    </w:rPr>
                    <w:t>450</w:t>
                  </w:r>
                  <w:r>
                    <w:rPr>
                      <w:sz w:val="21"/>
                    </w:rPr>
                    <w:t>（</w:t>
                  </w:r>
                  <w:r>
                    <w:rPr>
                      <w:sz w:val="21"/>
                    </w:rPr>
                    <w:t>mm</w:t>
                  </w:r>
                  <w:r>
                    <w:rPr>
                      <w:sz w:val="21"/>
                    </w:rPr>
                    <w:t>）</w:t>
                  </w:r>
                </w:p>
              </w:tc>
              <w:tc>
                <w:tcPr>
                  <w:tcW w:type="dxa" w:w="483"/>
                  <w:tcBorders>
                    <w:top w:val="none" w:color="000000" w:sz="4"/>
                    <w:left w:val="none" w:color="000000" w:sz="4"/>
                    <w:bottom w:val="single" w:color="000000" w:sz="4"/>
                    <w:right w:val="single" w:color="000000" w:sz="4"/>
                  </w:tcBorders>
                  <w:vAlign w:val="top"/>
                </w:tcPr>
                <w:p>
                  <w:pPr>
                    <w:jc w:val="center"/>
                  </w:pPr>
                  <w:r>
                    <w:rPr>
                      <w:sz w:val="21"/>
                    </w:rPr>
                    <w:t>2</w:t>
                  </w:r>
                </w:p>
              </w:tc>
              <w:tc>
                <w:tcPr>
                  <w:tcW w:type="dxa" w:w="528"/>
                  <w:tcBorders>
                    <w:top w:val="none" w:color="000000" w:sz="4"/>
                    <w:left w:val="none" w:color="000000" w:sz="4"/>
                    <w:bottom w:val="single" w:color="000000" w:sz="4"/>
                    <w:right w:val="single" w:color="000000" w:sz="4"/>
                  </w:tcBorders>
                  <w:vAlign w:val="top"/>
                </w:tcPr>
                <w:p>
                  <w:pPr>
                    <w:jc w:val="center"/>
                  </w:pPr>
                  <w:r>
                    <w:rPr>
                      <w:sz w:val="21"/>
                    </w:rPr>
                    <w:t>台</w:t>
                  </w:r>
                </w:p>
              </w:tc>
            </w:tr>
            <w:tr>
              <w:tc>
                <w:tcPr>
                  <w:tcW w:type="dxa" w:w="513"/>
                  <w:tcBorders>
                    <w:top w:val="none" w:color="000000" w:sz="4"/>
                    <w:left w:val="single" w:color="000000" w:sz="4"/>
                    <w:bottom w:val="single" w:color="000000" w:sz="4"/>
                    <w:right w:val="single" w:color="000000" w:sz="4"/>
                  </w:tcBorders>
                  <w:vAlign w:val="top"/>
                </w:tcPr>
                <w:p>
                  <w:pPr>
                    <w:ind w:firstLine="210"/>
                    <w:jc w:val="both"/>
                  </w:pPr>
                  <w:r>
                    <w:rPr>
                      <w:sz w:val="21"/>
                    </w:rPr>
                    <w:t>23</w:t>
                  </w:r>
                </w:p>
              </w:tc>
              <w:tc>
                <w:tcPr>
                  <w:tcW w:type="dxa" w:w="1207"/>
                  <w:tcBorders>
                    <w:top w:val="none" w:color="000000" w:sz="4"/>
                    <w:left w:val="none" w:color="000000" w:sz="4"/>
                    <w:bottom w:val="single" w:color="000000" w:sz="4"/>
                    <w:right w:val="single" w:color="000000" w:sz="4"/>
                  </w:tcBorders>
                  <w:vAlign w:val="top"/>
                </w:tcPr>
                <w:p>
                  <w:pPr>
                    <w:jc w:val="left"/>
                  </w:pPr>
                  <w:r>
                    <w:rPr>
                      <w:sz w:val="21"/>
                    </w:rPr>
                    <w:t>输出模块</w:t>
                  </w:r>
                </w:p>
              </w:tc>
              <w:tc>
                <w:tcPr>
                  <w:tcW w:type="dxa" w:w="2867"/>
                  <w:tcBorders>
                    <w:top w:val="none" w:color="000000" w:sz="4"/>
                    <w:left w:val="none" w:color="000000" w:sz="4"/>
                    <w:bottom w:val="single" w:color="000000" w:sz="4"/>
                    <w:right w:val="single" w:color="000000" w:sz="4"/>
                  </w:tcBorders>
                  <w:vAlign w:val="top"/>
                </w:tcPr>
                <w:p>
                  <w:pPr>
                    <w:jc w:val="left"/>
                  </w:pPr>
                  <w:r>
                    <w:rPr>
                      <w:sz w:val="21"/>
                    </w:rPr>
                    <w:t>工作电压</w:t>
                  </w:r>
                  <w:r>
                    <w:rPr>
                      <w:sz w:val="21"/>
                    </w:rPr>
                    <w:t xml:space="preserve">:DC24V±15%    </w:t>
                  </w:r>
                </w:p>
                <w:p>
                  <w:pPr>
                    <w:jc w:val="left"/>
                  </w:pPr>
                  <w:r>
                    <w:rPr>
                      <w:sz w:val="21"/>
                    </w:rPr>
                    <w:t>使用环境：温度：</w:t>
                  </w:r>
                  <w:r>
                    <w:rPr>
                      <w:sz w:val="21"/>
                    </w:rPr>
                    <w:t>-10℃</w:t>
                  </w:r>
                  <w:r>
                    <w:rPr>
                      <w:sz w:val="21"/>
                    </w:rPr>
                    <w:t>～</w:t>
                  </w:r>
                  <w:r>
                    <w:rPr>
                      <w:sz w:val="21"/>
                    </w:rPr>
                    <w:t>+55℃</w:t>
                  </w:r>
                </w:p>
                <w:p>
                  <w:pPr>
                    <w:jc w:val="left"/>
                  </w:pPr>
                  <w:r>
                    <w:rPr>
                      <w:sz w:val="21"/>
                    </w:rPr>
                    <w:t>相对湿度：</w:t>
                  </w:r>
                  <w:r>
                    <w:rPr>
                      <w:sz w:val="21"/>
                    </w:rPr>
                    <w:t>≤95%</w:t>
                  </w:r>
                  <w:r>
                    <w:rPr>
                      <w:sz w:val="21"/>
                    </w:rPr>
                    <w:t>（</w:t>
                  </w:r>
                  <w:r>
                    <w:rPr>
                      <w:sz w:val="21"/>
                    </w:rPr>
                    <w:t>40℃±2℃</w:t>
                  </w:r>
                  <w:r>
                    <w:rPr>
                      <w:sz w:val="21"/>
                    </w:rPr>
                    <w:t>）</w:t>
                  </w:r>
                </w:p>
              </w:tc>
              <w:tc>
                <w:tcPr>
                  <w:tcW w:type="dxa" w:w="483"/>
                  <w:tcBorders>
                    <w:top w:val="none" w:color="000000" w:sz="4"/>
                    <w:left w:val="none" w:color="000000" w:sz="4"/>
                    <w:bottom w:val="single" w:color="000000" w:sz="4"/>
                    <w:right w:val="single" w:color="000000" w:sz="4"/>
                  </w:tcBorders>
                  <w:vAlign w:val="top"/>
                </w:tcPr>
                <w:p>
                  <w:pPr>
                    <w:jc w:val="center"/>
                  </w:pPr>
                  <w:r>
                    <w:rPr>
                      <w:sz w:val="21"/>
                    </w:rPr>
                    <w:t>2</w:t>
                  </w:r>
                </w:p>
              </w:tc>
              <w:tc>
                <w:tcPr>
                  <w:tcW w:type="dxa" w:w="528"/>
                  <w:tcBorders>
                    <w:top w:val="none" w:color="000000" w:sz="4"/>
                    <w:left w:val="none" w:color="000000" w:sz="4"/>
                    <w:bottom w:val="single" w:color="000000" w:sz="4"/>
                    <w:right w:val="single" w:color="000000" w:sz="4"/>
                  </w:tcBorders>
                  <w:vAlign w:val="top"/>
                </w:tcPr>
                <w:p>
                  <w:pPr>
                    <w:jc w:val="center"/>
                  </w:pPr>
                  <w:r>
                    <w:rPr>
                      <w:sz w:val="21"/>
                    </w:rPr>
                    <w:t>只</w:t>
                  </w:r>
                </w:p>
              </w:tc>
            </w:tr>
            <w:tr>
              <w:tc>
                <w:tcPr>
                  <w:tcW w:type="dxa" w:w="513"/>
                  <w:tcBorders>
                    <w:top w:val="none" w:color="000000" w:sz="4"/>
                    <w:left w:val="single" w:color="000000" w:sz="4"/>
                    <w:bottom w:val="single" w:color="000000" w:sz="4"/>
                    <w:right w:val="single" w:color="000000" w:sz="4"/>
                  </w:tcBorders>
                  <w:vAlign w:val="top"/>
                </w:tcPr>
                <w:p>
                  <w:pPr>
                    <w:jc w:val="both"/>
                  </w:pPr>
                  <w:r>
                    <w:rPr>
                      <w:sz w:val="21"/>
                    </w:rPr>
                    <w:t>24</w:t>
                  </w:r>
                </w:p>
              </w:tc>
              <w:tc>
                <w:tcPr>
                  <w:tcW w:type="dxa" w:w="1207"/>
                  <w:tcBorders>
                    <w:top w:val="none" w:color="000000" w:sz="4"/>
                    <w:left w:val="none" w:color="000000" w:sz="4"/>
                    <w:bottom w:val="single" w:color="000000" w:sz="4"/>
                    <w:right w:val="single" w:color="000000" w:sz="4"/>
                  </w:tcBorders>
                  <w:vAlign w:val="top"/>
                </w:tcPr>
                <w:p>
                  <w:pPr>
                    <w:jc w:val="left"/>
                  </w:pPr>
                  <w:r>
                    <w:rPr>
                      <w:sz w:val="21"/>
                    </w:rPr>
                    <w:t>10A</w:t>
                  </w:r>
                  <w:r>
                    <w:rPr>
                      <w:sz w:val="21"/>
                    </w:rPr>
                    <w:t>外控电源</w:t>
                  </w:r>
                </w:p>
              </w:tc>
              <w:tc>
                <w:tcPr>
                  <w:tcW w:type="dxa" w:w="2867"/>
                  <w:tcBorders>
                    <w:top w:val="none" w:color="000000" w:sz="4"/>
                    <w:left w:val="none" w:color="000000" w:sz="4"/>
                    <w:bottom w:val="single" w:color="000000" w:sz="4"/>
                    <w:right w:val="single" w:color="000000" w:sz="4"/>
                  </w:tcBorders>
                  <w:vAlign w:val="top"/>
                </w:tcPr>
                <w:p>
                  <w:pPr>
                    <w:jc w:val="left"/>
                  </w:pPr>
                  <w:r>
                    <w:rPr>
                      <w:sz w:val="21"/>
                    </w:rPr>
                    <w:t>+24V-10.A</w:t>
                  </w:r>
                </w:p>
              </w:tc>
              <w:tc>
                <w:tcPr>
                  <w:tcW w:type="dxa" w:w="483"/>
                  <w:tcBorders>
                    <w:top w:val="none" w:color="000000" w:sz="4"/>
                    <w:left w:val="none" w:color="000000" w:sz="4"/>
                    <w:bottom w:val="single" w:color="000000" w:sz="4"/>
                    <w:right w:val="single" w:color="000000" w:sz="4"/>
                  </w:tcBorders>
                  <w:vAlign w:val="top"/>
                </w:tcPr>
                <w:p>
                  <w:pPr>
                    <w:jc w:val="center"/>
                  </w:pPr>
                  <w:r>
                    <w:rPr>
                      <w:sz w:val="21"/>
                    </w:rPr>
                    <w:t>2</w:t>
                  </w:r>
                </w:p>
              </w:tc>
              <w:tc>
                <w:tcPr>
                  <w:tcW w:type="dxa" w:w="528"/>
                  <w:tcBorders>
                    <w:top w:val="none" w:color="000000" w:sz="4"/>
                    <w:left w:val="none" w:color="000000" w:sz="4"/>
                    <w:bottom w:val="single" w:color="000000" w:sz="4"/>
                    <w:right w:val="single" w:color="000000" w:sz="4"/>
                  </w:tcBorders>
                  <w:vAlign w:val="top"/>
                </w:tcPr>
                <w:p>
                  <w:pPr>
                    <w:jc w:val="center"/>
                  </w:pPr>
                  <w:r>
                    <w:rPr>
                      <w:sz w:val="21"/>
                    </w:rPr>
                    <w:t>台</w:t>
                  </w:r>
                </w:p>
              </w:tc>
            </w:tr>
            <w:tr>
              <w:tc>
                <w:tcPr>
                  <w:tcW w:type="dxa" w:w="513"/>
                  <w:tcBorders>
                    <w:top w:val="none" w:color="000000" w:sz="4"/>
                    <w:left w:val="single" w:color="000000" w:sz="4"/>
                    <w:bottom w:val="single" w:color="000000" w:sz="4"/>
                    <w:right w:val="single" w:color="000000" w:sz="4"/>
                  </w:tcBorders>
                  <w:vAlign w:val="top"/>
                </w:tcPr>
                <w:p>
                  <w:pPr>
                    <w:jc w:val="both"/>
                  </w:pPr>
                  <w:r>
                    <w:rPr>
                      <w:sz w:val="21"/>
                    </w:rPr>
                    <w:t>25</w:t>
                  </w:r>
                </w:p>
              </w:tc>
              <w:tc>
                <w:tcPr>
                  <w:tcW w:type="dxa" w:w="1207"/>
                  <w:tcBorders>
                    <w:top w:val="none" w:color="000000" w:sz="4"/>
                    <w:left w:val="none" w:color="000000" w:sz="4"/>
                    <w:bottom w:val="single" w:color="000000" w:sz="4"/>
                    <w:right w:val="single" w:color="000000" w:sz="4"/>
                  </w:tcBorders>
                  <w:vAlign w:val="top"/>
                </w:tcPr>
                <w:p>
                  <w:pPr>
                    <w:jc w:val="left"/>
                  </w:pPr>
                  <w:r>
                    <w:rPr>
                      <w:sz w:val="21"/>
                    </w:rPr>
                    <w:t>放气指示灯</w:t>
                  </w:r>
                </w:p>
              </w:tc>
              <w:tc>
                <w:tcPr>
                  <w:tcW w:type="dxa" w:w="2867"/>
                  <w:tcBorders>
                    <w:top w:val="none" w:color="000000" w:sz="4"/>
                    <w:left w:val="none" w:color="000000" w:sz="4"/>
                    <w:bottom w:val="single" w:color="000000" w:sz="4"/>
                    <w:right w:val="single" w:color="000000" w:sz="4"/>
                  </w:tcBorders>
                  <w:vAlign w:val="top"/>
                </w:tcPr>
                <w:p>
                  <w:pPr>
                    <w:jc w:val="left"/>
                  </w:pPr>
                  <w:r>
                    <w:rPr>
                      <w:sz w:val="21"/>
                    </w:rPr>
                    <w:t>工作电压</w:t>
                  </w:r>
                  <w:r>
                    <w:rPr>
                      <w:sz w:val="21"/>
                    </w:rPr>
                    <w:t>:DC18</w:t>
                  </w:r>
                  <w:r>
                    <w:rPr>
                      <w:sz w:val="21"/>
                    </w:rPr>
                    <w:t>～</w:t>
                  </w:r>
                  <w:r>
                    <w:rPr>
                      <w:sz w:val="21"/>
                    </w:rPr>
                    <w:t xml:space="preserve">24V     </w:t>
                  </w:r>
                </w:p>
                <w:p>
                  <w:pPr>
                    <w:jc w:val="left"/>
                  </w:pPr>
                  <w:r>
                    <w:rPr>
                      <w:sz w:val="21"/>
                    </w:rPr>
                    <w:t>使用环境：温度：</w:t>
                  </w:r>
                  <w:r>
                    <w:rPr>
                      <w:sz w:val="21"/>
                    </w:rPr>
                    <w:t>-10℃</w:t>
                  </w:r>
                  <w:r>
                    <w:rPr>
                      <w:sz w:val="21"/>
                    </w:rPr>
                    <w:t>～</w:t>
                  </w:r>
                  <w:r>
                    <w:rPr>
                      <w:sz w:val="21"/>
                    </w:rPr>
                    <w:t>+55℃</w:t>
                  </w:r>
                </w:p>
                <w:p>
                  <w:pPr>
                    <w:jc w:val="left"/>
                  </w:pPr>
                  <w:r>
                    <w:rPr>
                      <w:sz w:val="21"/>
                    </w:rPr>
                    <w:t>相对湿度：</w:t>
                  </w:r>
                  <w:r>
                    <w:rPr>
                      <w:sz w:val="21"/>
                    </w:rPr>
                    <w:t>≤95%</w:t>
                  </w:r>
                  <w:r>
                    <w:rPr>
                      <w:sz w:val="21"/>
                    </w:rPr>
                    <w:t>（</w:t>
                  </w:r>
                  <w:r>
                    <w:rPr>
                      <w:sz w:val="21"/>
                    </w:rPr>
                    <w:t>40℃±2℃</w:t>
                  </w:r>
                  <w:r>
                    <w:rPr>
                      <w:sz w:val="21"/>
                    </w:rPr>
                    <w:t>）</w:t>
                  </w:r>
                </w:p>
              </w:tc>
              <w:tc>
                <w:tcPr>
                  <w:tcW w:type="dxa" w:w="483"/>
                  <w:tcBorders>
                    <w:top w:val="none" w:color="000000" w:sz="4"/>
                    <w:left w:val="none" w:color="000000" w:sz="4"/>
                    <w:bottom w:val="single" w:color="000000" w:sz="4"/>
                    <w:right w:val="single" w:color="000000" w:sz="4"/>
                  </w:tcBorders>
                  <w:vAlign w:val="top"/>
                </w:tcPr>
                <w:p>
                  <w:pPr>
                    <w:jc w:val="center"/>
                  </w:pPr>
                  <w:r>
                    <w:rPr>
                      <w:sz w:val="21"/>
                    </w:rPr>
                    <w:t>4</w:t>
                  </w:r>
                </w:p>
              </w:tc>
              <w:tc>
                <w:tcPr>
                  <w:tcW w:type="dxa" w:w="528"/>
                  <w:tcBorders>
                    <w:top w:val="none" w:color="000000" w:sz="4"/>
                    <w:left w:val="none" w:color="000000" w:sz="4"/>
                    <w:bottom w:val="single" w:color="000000" w:sz="4"/>
                    <w:right w:val="single" w:color="000000" w:sz="4"/>
                  </w:tcBorders>
                  <w:vAlign w:val="top"/>
                </w:tcPr>
                <w:p>
                  <w:pPr>
                    <w:jc w:val="center"/>
                  </w:pPr>
                  <w:r>
                    <w:rPr>
                      <w:sz w:val="21"/>
                    </w:rPr>
                    <w:t>个</w:t>
                  </w:r>
                </w:p>
              </w:tc>
            </w:tr>
            <w:tr>
              <w:tc>
                <w:tcPr>
                  <w:tcW w:type="dxa" w:w="513"/>
                  <w:tcBorders>
                    <w:top w:val="none" w:color="000000" w:sz="4"/>
                    <w:left w:val="single" w:color="000000" w:sz="4"/>
                    <w:bottom w:val="single" w:color="000000" w:sz="4"/>
                    <w:right w:val="single" w:color="000000" w:sz="4"/>
                  </w:tcBorders>
                  <w:vAlign w:val="top"/>
                </w:tcPr>
                <w:p>
                  <w:pPr>
                    <w:jc w:val="both"/>
                  </w:pPr>
                  <w:r>
                    <w:rPr>
                      <w:sz w:val="21"/>
                    </w:rPr>
                    <w:t>26</w:t>
                  </w:r>
                </w:p>
              </w:tc>
              <w:tc>
                <w:tcPr>
                  <w:tcW w:type="dxa" w:w="1207"/>
                  <w:tcBorders>
                    <w:top w:val="none" w:color="000000" w:sz="4"/>
                    <w:left w:val="none" w:color="000000" w:sz="4"/>
                    <w:bottom w:val="single" w:color="000000" w:sz="4"/>
                    <w:right w:val="single" w:color="000000" w:sz="4"/>
                  </w:tcBorders>
                  <w:vAlign w:val="top"/>
                </w:tcPr>
                <w:p>
                  <w:pPr>
                    <w:jc w:val="left"/>
                  </w:pPr>
                  <w:r>
                    <w:rPr>
                      <w:sz w:val="21"/>
                    </w:rPr>
                    <w:t>气体启停按钮</w:t>
                  </w:r>
                </w:p>
              </w:tc>
              <w:tc>
                <w:tcPr>
                  <w:tcW w:type="dxa" w:w="2867"/>
                  <w:tcBorders>
                    <w:top w:val="none" w:color="000000" w:sz="4"/>
                    <w:left w:val="none" w:color="000000" w:sz="4"/>
                    <w:bottom w:val="single" w:color="000000" w:sz="4"/>
                    <w:right w:val="single" w:color="000000" w:sz="4"/>
                  </w:tcBorders>
                  <w:vAlign w:val="top"/>
                </w:tcPr>
                <w:p>
                  <w:pPr>
                    <w:jc w:val="left"/>
                  </w:pPr>
                  <w:r>
                    <w:rPr>
                      <w:sz w:val="21"/>
                    </w:rPr>
                    <w:t>工作电压</w:t>
                  </w:r>
                  <w:r>
                    <w:rPr>
                      <w:sz w:val="21"/>
                    </w:rPr>
                    <w:t xml:space="preserve">:DC24V±15%  </w:t>
                  </w:r>
                </w:p>
                <w:p>
                  <w:pPr>
                    <w:jc w:val="left"/>
                  </w:pPr>
                  <w:r>
                    <w:rPr>
                      <w:sz w:val="21"/>
                    </w:rPr>
                    <w:t>使用环境：温度：</w:t>
                  </w:r>
                  <w:r>
                    <w:rPr>
                      <w:sz w:val="21"/>
                    </w:rPr>
                    <w:t>-10℃</w:t>
                  </w:r>
                  <w:r>
                    <w:rPr>
                      <w:sz w:val="21"/>
                    </w:rPr>
                    <w:t>～</w:t>
                  </w:r>
                  <w:r>
                    <w:rPr>
                      <w:sz w:val="21"/>
                    </w:rPr>
                    <w:t>+55℃</w:t>
                  </w:r>
                </w:p>
                <w:p>
                  <w:pPr>
                    <w:jc w:val="left"/>
                  </w:pPr>
                  <w:r>
                    <w:rPr>
                      <w:sz w:val="21"/>
                    </w:rPr>
                    <w:t>相对湿度：</w:t>
                  </w:r>
                  <w:r>
                    <w:rPr>
                      <w:sz w:val="21"/>
                    </w:rPr>
                    <w:t>≤95%</w:t>
                  </w:r>
                  <w:r>
                    <w:rPr>
                      <w:sz w:val="21"/>
                    </w:rPr>
                    <w:t>（</w:t>
                  </w:r>
                  <w:r>
                    <w:rPr>
                      <w:sz w:val="21"/>
                    </w:rPr>
                    <w:t>40℃±2℃</w:t>
                  </w:r>
                  <w:r>
                    <w:rPr>
                      <w:sz w:val="21"/>
                    </w:rPr>
                    <w:t>）</w:t>
                  </w:r>
                </w:p>
              </w:tc>
              <w:tc>
                <w:tcPr>
                  <w:tcW w:type="dxa" w:w="483"/>
                  <w:tcBorders>
                    <w:top w:val="none" w:color="000000" w:sz="4"/>
                    <w:left w:val="none" w:color="000000" w:sz="4"/>
                    <w:bottom w:val="single" w:color="000000" w:sz="4"/>
                    <w:right w:val="single" w:color="000000" w:sz="4"/>
                  </w:tcBorders>
                  <w:vAlign w:val="top"/>
                </w:tcPr>
                <w:p>
                  <w:pPr>
                    <w:jc w:val="center"/>
                  </w:pPr>
                  <w:r>
                    <w:rPr>
                      <w:sz w:val="21"/>
                    </w:rPr>
                    <w:t>4</w:t>
                  </w:r>
                </w:p>
              </w:tc>
              <w:tc>
                <w:tcPr>
                  <w:tcW w:type="dxa" w:w="528"/>
                  <w:tcBorders>
                    <w:top w:val="none" w:color="000000" w:sz="4"/>
                    <w:left w:val="none" w:color="000000" w:sz="4"/>
                    <w:bottom w:val="single" w:color="000000" w:sz="4"/>
                    <w:right w:val="single" w:color="000000" w:sz="4"/>
                  </w:tcBorders>
                  <w:vAlign w:val="top"/>
                </w:tcPr>
                <w:p>
                  <w:pPr>
                    <w:jc w:val="center"/>
                  </w:pPr>
                  <w:r>
                    <w:rPr>
                      <w:sz w:val="21"/>
                    </w:rPr>
                    <w:t>个</w:t>
                  </w:r>
                </w:p>
              </w:tc>
            </w:tr>
            <w:tr>
              <w:tc>
                <w:tcPr>
                  <w:tcW w:type="dxa" w:w="513"/>
                  <w:tcBorders>
                    <w:top w:val="none" w:color="000000" w:sz="4"/>
                    <w:left w:val="single" w:color="000000" w:sz="4"/>
                    <w:bottom w:val="single" w:color="000000" w:sz="4"/>
                    <w:right w:val="single" w:color="000000" w:sz="4"/>
                  </w:tcBorders>
                  <w:vAlign w:val="top"/>
                </w:tcPr>
                <w:p>
                  <w:pPr>
                    <w:jc w:val="both"/>
                  </w:pPr>
                  <w:r>
                    <w:rPr>
                      <w:sz w:val="21"/>
                    </w:rPr>
                    <w:t>27</w:t>
                  </w:r>
                </w:p>
              </w:tc>
              <w:tc>
                <w:tcPr>
                  <w:tcW w:type="dxa" w:w="1207"/>
                  <w:tcBorders>
                    <w:top w:val="none" w:color="000000" w:sz="4"/>
                    <w:left w:val="none" w:color="000000" w:sz="4"/>
                    <w:bottom w:val="single" w:color="000000" w:sz="4"/>
                    <w:right w:val="single" w:color="000000" w:sz="4"/>
                  </w:tcBorders>
                  <w:vAlign w:val="top"/>
                </w:tcPr>
                <w:p>
                  <w:pPr>
                    <w:jc w:val="left"/>
                  </w:pPr>
                  <w:r>
                    <w:rPr>
                      <w:sz w:val="21"/>
                    </w:rPr>
                    <w:t>警示牌</w:t>
                  </w:r>
                </w:p>
              </w:tc>
              <w:tc>
                <w:tcPr>
                  <w:tcW w:type="dxa" w:w="2867"/>
                  <w:tcBorders>
                    <w:top w:val="none" w:color="000000" w:sz="4"/>
                    <w:left w:val="none" w:color="000000" w:sz="4"/>
                    <w:bottom w:val="single" w:color="000000" w:sz="4"/>
                    <w:right w:val="single" w:color="000000" w:sz="4"/>
                  </w:tcBorders>
                  <w:vAlign w:val="top"/>
                </w:tcPr>
                <w:p>
                  <w:pPr>
                    <w:jc w:val="left"/>
                  </w:pPr>
                  <w:r>
                    <w:rPr>
                      <w:sz w:val="21"/>
                    </w:rPr>
                    <w:t>符合国标</w:t>
                  </w:r>
                </w:p>
              </w:tc>
              <w:tc>
                <w:tcPr>
                  <w:tcW w:type="dxa" w:w="483"/>
                  <w:tcBorders>
                    <w:top w:val="none" w:color="000000" w:sz="4"/>
                    <w:left w:val="none" w:color="000000" w:sz="4"/>
                    <w:bottom w:val="single" w:color="000000" w:sz="4"/>
                    <w:right w:val="single" w:color="000000" w:sz="4"/>
                  </w:tcBorders>
                  <w:vAlign w:val="top"/>
                </w:tcPr>
                <w:p>
                  <w:pPr>
                    <w:jc w:val="center"/>
                  </w:pPr>
                  <w:r>
                    <w:rPr>
                      <w:sz w:val="21"/>
                    </w:rPr>
                    <w:t>4</w:t>
                  </w:r>
                </w:p>
              </w:tc>
              <w:tc>
                <w:tcPr>
                  <w:tcW w:type="dxa" w:w="528"/>
                  <w:tcBorders>
                    <w:top w:val="none" w:color="000000" w:sz="4"/>
                    <w:left w:val="none" w:color="000000" w:sz="4"/>
                    <w:bottom w:val="single" w:color="000000" w:sz="4"/>
                    <w:right w:val="single" w:color="000000" w:sz="4"/>
                  </w:tcBorders>
                  <w:vAlign w:val="top"/>
                </w:tcPr>
                <w:p>
                  <w:pPr>
                    <w:jc w:val="center"/>
                  </w:pPr>
                  <w:r>
                    <w:rPr>
                      <w:sz w:val="21"/>
                    </w:rPr>
                    <w:t>块</w:t>
                  </w:r>
                </w:p>
              </w:tc>
            </w:tr>
            <w:tr>
              <w:tc>
                <w:tcPr>
                  <w:tcW w:type="dxa" w:w="513"/>
                  <w:tcBorders>
                    <w:top w:val="none" w:color="000000" w:sz="4"/>
                    <w:left w:val="single" w:color="000000" w:sz="4"/>
                    <w:bottom w:val="single" w:color="000000" w:sz="4"/>
                    <w:right w:val="single" w:color="000000" w:sz="4"/>
                  </w:tcBorders>
                  <w:vAlign w:val="top"/>
                </w:tcPr>
                <w:p>
                  <w:pPr>
                    <w:jc w:val="both"/>
                  </w:pPr>
                  <w:r>
                    <w:rPr>
                      <w:sz w:val="21"/>
                    </w:rPr>
                    <w:t>28</w:t>
                  </w:r>
                </w:p>
              </w:tc>
              <w:tc>
                <w:tcPr>
                  <w:tcW w:type="dxa" w:w="1207"/>
                  <w:tcBorders>
                    <w:top w:val="none" w:color="000000" w:sz="4"/>
                    <w:left w:val="none" w:color="000000" w:sz="4"/>
                    <w:bottom w:val="single" w:color="000000" w:sz="4"/>
                    <w:right w:val="single" w:color="000000" w:sz="4"/>
                  </w:tcBorders>
                  <w:vAlign w:val="top"/>
                </w:tcPr>
                <w:p>
                  <w:pPr>
                    <w:jc w:val="left"/>
                  </w:pPr>
                  <w:r>
                    <w:rPr>
                      <w:sz w:val="21"/>
                    </w:rPr>
                    <w:t>声光报警器</w:t>
                  </w:r>
                </w:p>
              </w:tc>
              <w:tc>
                <w:tcPr>
                  <w:tcW w:type="dxa" w:w="2867"/>
                  <w:tcBorders>
                    <w:top w:val="none" w:color="000000" w:sz="4"/>
                    <w:left w:val="none" w:color="000000" w:sz="4"/>
                    <w:bottom w:val="single" w:color="000000" w:sz="4"/>
                    <w:right w:val="single" w:color="000000" w:sz="4"/>
                  </w:tcBorders>
                  <w:vAlign w:val="top"/>
                </w:tcPr>
                <w:p>
                  <w:pPr>
                    <w:jc w:val="left"/>
                  </w:pPr>
                  <w:r>
                    <w:rPr>
                      <w:sz w:val="21"/>
                    </w:rPr>
                    <w:t>工作电压</w:t>
                  </w:r>
                  <w:r>
                    <w:rPr>
                      <w:sz w:val="21"/>
                    </w:rPr>
                    <w:t xml:space="preserve">:DC24V±15%    </w:t>
                  </w:r>
                </w:p>
                <w:p>
                  <w:pPr>
                    <w:jc w:val="left"/>
                  </w:pPr>
                  <w:r>
                    <w:rPr>
                      <w:sz w:val="21"/>
                    </w:rPr>
                    <w:t>使用环境：温度：</w:t>
                  </w:r>
                  <w:r>
                    <w:rPr>
                      <w:sz w:val="21"/>
                    </w:rPr>
                    <w:t>-10℃</w:t>
                  </w:r>
                  <w:r>
                    <w:rPr>
                      <w:sz w:val="21"/>
                    </w:rPr>
                    <w:t>～</w:t>
                  </w:r>
                  <w:r>
                    <w:rPr>
                      <w:sz w:val="21"/>
                    </w:rPr>
                    <w:t>+55℃</w:t>
                  </w:r>
                </w:p>
                <w:p>
                  <w:pPr>
                    <w:jc w:val="left"/>
                  </w:pPr>
                  <w:r>
                    <w:rPr>
                      <w:sz w:val="21"/>
                    </w:rPr>
                    <w:t>相对湿度：</w:t>
                  </w:r>
                  <w:r>
                    <w:rPr>
                      <w:sz w:val="21"/>
                    </w:rPr>
                    <w:t>≤95%</w:t>
                  </w:r>
                  <w:r>
                    <w:rPr>
                      <w:sz w:val="21"/>
                    </w:rPr>
                    <w:t>（</w:t>
                  </w:r>
                  <w:r>
                    <w:rPr>
                      <w:sz w:val="21"/>
                    </w:rPr>
                    <w:t>40℃±2℃</w:t>
                  </w:r>
                  <w:r>
                    <w:rPr>
                      <w:sz w:val="21"/>
                    </w:rPr>
                    <w:t>）</w:t>
                  </w:r>
                </w:p>
              </w:tc>
              <w:tc>
                <w:tcPr>
                  <w:tcW w:type="dxa" w:w="483"/>
                  <w:tcBorders>
                    <w:top w:val="none" w:color="000000" w:sz="4"/>
                    <w:left w:val="none" w:color="000000" w:sz="4"/>
                    <w:bottom w:val="single" w:color="000000" w:sz="4"/>
                    <w:right w:val="single" w:color="000000" w:sz="4"/>
                  </w:tcBorders>
                  <w:vAlign w:val="top"/>
                </w:tcPr>
                <w:p>
                  <w:pPr>
                    <w:jc w:val="center"/>
                  </w:pPr>
                  <w:r>
                    <w:rPr>
                      <w:sz w:val="21"/>
                    </w:rPr>
                    <w:t>8</w:t>
                  </w:r>
                </w:p>
              </w:tc>
              <w:tc>
                <w:tcPr>
                  <w:tcW w:type="dxa" w:w="528"/>
                  <w:tcBorders>
                    <w:top w:val="none" w:color="000000" w:sz="4"/>
                    <w:left w:val="none" w:color="000000" w:sz="4"/>
                    <w:bottom w:val="single" w:color="000000" w:sz="4"/>
                    <w:right w:val="single" w:color="000000" w:sz="4"/>
                  </w:tcBorders>
                  <w:vAlign w:val="top"/>
                </w:tcPr>
                <w:p>
                  <w:pPr>
                    <w:jc w:val="center"/>
                  </w:pPr>
                  <w:r>
                    <w:rPr>
                      <w:sz w:val="21"/>
                    </w:rPr>
                    <w:t>个</w:t>
                  </w:r>
                </w:p>
              </w:tc>
            </w:tr>
            <w:tr>
              <w:tc>
                <w:tcPr>
                  <w:tcW w:type="dxa" w:w="513"/>
                  <w:tcBorders>
                    <w:top w:val="none" w:color="000000" w:sz="4"/>
                    <w:left w:val="single" w:color="000000" w:sz="4"/>
                    <w:bottom w:val="single" w:color="000000" w:sz="4"/>
                    <w:right w:val="single" w:color="000000" w:sz="4"/>
                  </w:tcBorders>
                  <w:vAlign w:val="top"/>
                </w:tcPr>
                <w:p>
                  <w:pPr>
                    <w:jc w:val="both"/>
                  </w:pPr>
                  <w:r>
                    <w:rPr>
                      <w:sz w:val="21"/>
                    </w:rPr>
                    <w:t>29</w:t>
                  </w:r>
                </w:p>
              </w:tc>
              <w:tc>
                <w:tcPr>
                  <w:tcW w:type="dxa" w:w="1207"/>
                  <w:tcBorders>
                    <w:top w:val="none" w:color="000000" w:sz="4"/>
                    <w:left w:val="none" w:color="000000" w:sz="4"/>
                    <w:bottom w:val="single" w:color="000000" w:sz="4"/>
                    <w:right w:val="single" w:color="000000" w:sz="4"/>
                  </w:tcBorders>
                  <w:vAlign w:val="top"/>
                </w:tcPr>
                <w:p>
                  <w:pPr>
                    <w:jc w:val="left"/>
                  </w:pPr>
                  <w:r>
                    <w:rPr>
                      <w:sz w:val="21"/>
                    </w:rPr>
                    <w:t>点型光电感烟火灾探测器</w:t>
                  </w:r>
                </w:p>
              </w:tc>
              <w:tc>
                <w:tcPr>
                  <w:tcW w:type="dxa" w:w="2867"/>
                  <w:tcBorders>
                    <w:top w:val="none" w:color="000000" w:sz="4"/>
                    <w:left w:val="none" w:color="000000" w:sz="4"/>
                    <w:bottom w:val="single" w:color="000000" w:sz="4"/>
                    <w:right w:val="single" w:color="000000" w:sz="4"/>
                  </w:tcBorders>
                  <w:vAlign w:val="top"/>
                </w:tcPr>
                <w:p>
                  <w:pPr>
                    <w:jc w:val="left"/>
                  </w:pPr>
                  <w:r>
                    <w:rPr>
                      <w:sz w:val="21"/>
                    </w:rPr>
                    <w:t>工作电压</w:t>
                  </w:r>
                  <w:r>
                    <w:rPr>
                      <w:sz w:val="21"/>
                    </w:rPr>
                    <w:t xml:space="preserve">:DC24V±15%    </w:t>
                  </w:r>
                </w:p>
                <w:p>
                  <w:pPr>
                    <w:jc w:val="left"/>
                  </w:pPr>
                  <w:r>
                    <w:rPr>
                      <w:sz w:val="21"/>
                    </w:rPr>
                    <w:t>保护面积</w:t>
                  </w:r>
                  <w:r>
                    <w:rPr>
                      <w:sz w:val="21"/>
                    </w:rPr>
                    <w:t>20</w:t>
                  </w:r>
                  <w:r>
                    <w:rPr>
                      <w:sz w:val="21"/>
                    </w:rPr>
                    <w:t>㎡</w:t>
                  </w:r>
                </w:p>
                <w:p>
                  <w:pPr>
                    <w:jc w:val="left"/>
                  </w:pPr>
                  <w:r>
                    <w:rPr>
                      <w:sz w:val="21"/>
                    </w:rPr>
                    <w:t>使用环境：温度：</w:t>
                  </w:r>
                  <w:r>
                    <w:rPr>
                      <w:sz w:val="21"/>
                    </w:rPr>
                    <w:t>-10℃</w:t>
                  </w:r>
                  <w:r>
                    <w:rPr>
                      <w:sz w:val="21"/>
                    </w:rPr>
                    <w:t>～</w:t>
                  </w:r>
                  <w:r>
                    <w:rPr>
                      <w:sz w:val="21"/>
                    </w:rPr>
                    <w:t>+55℃</w:t>
                  </w:r>
                </w:p>
                <w:p>
                  <w:pPr>
                    <w:jc w:val="left"/>
                  </w:pPr>
                  <w:r>
                    <w:rPr>
                      <w:sz w:val="21"/>
                    </w:rPr>
                    <w:t>相对湿度：</w:t>
                  </w:r>
                  <w:r>
                    <w:rPr>
                      <w:sz w:val="21"/>
                    </w:rPr>
                    <w:t>≤95%</w:t>
                  </w:r>
                  <w:r>
                    <w:rPr>
                      <w:sz w:val="21"/>
                    </w:rPr>
                    <w:t>（</w:t>
                  </w:r>
                  <w:r>
                    <w:rPr>
                      <w:sz w:val="21"/>
                    </w:rPr>
                    <w:t>40℃±2℃</w:t>
                  </w:r>
                  <w:r>
                    <w:rPr>
                      <w:sz w:val="21"/>
                    </w:rPr>
                    <w:t>）</w:t>
                  </w:r>
                </w:p>
              </w:tc>
              <w:tc>
                <w:tcPr>
                  <w:tcW w:type="dxa" w:w="483"/>
                  <w:tcBorders>
                    <w:top w:val="none" w:color="000000" w:sz="4"/>
                    <w:left w:val="none" w:color="000000" w:sz="4"/>
                    <w:bottom w:val="single" w:color="000000" w:sz="4"/>
                    <w:right w:val="single" w:color="000000" w:sz="4"/>
                  </w:tcBorders>
                  <w:vAlign w:val="top"/>
                </w:tcPr>
                <w:p>
                  <w:pPr>
                    <w:jc w:val="center"/>
                  </w:pPr>
                  <w:r>
                    <w:rPr>
                      <w:sz w:val="21"/>
                    </w:rPr>
                    <w:t>10</w:t>
                  </w:r>
                </w:p>
              </w:tc>
              <w:tc>
                <w:tcPr>
                  <w:tcW w:type="dxa" w:w="528"/>
                  <w:tcBorders>
                    <w:top w:val="none" w:color="000000" w:sz="4"/>
                    <w:left w:val="none" w:color="000000" w:sz="4"/>
                    <w:bottom w:val="single" w:color="000000" w:sz="4"/>
                    <w:right w:val="single" w:color="000000" w:sz="4"/>
                  </w:tcBorders>
                  <w:vAlign w:val="top"/>
                </w:tcPr>
                <w:p>
                  <w:pPr>
                    <w:jc w:val="center"/>
                  </w:pPr>
                  <w:r>
                    <w:rPr>
                      <w:sz w:val="21"/>
                    </w:rPr>
                    <w:t>个</w:t>
                  </w:r>
                </w:p>
              </w:tc>
            </w:tr>
            <w:tr>
              <w:tc>
                <w:tcPr>
                  <w:tcW w:type="dxa" w:w="513"/>
                  <w:tcBorders>
                    <w:top w:val="none" w:color="000000" w:sz="4"/>
                    <w:left w:val="single" w:color="000000" w:sz="4"/>
                    <w:bottom w:val="single" w:color="000000" w:sz="4"/>
                    <w:right w:val="single" w:color="000000" w:sz="4"/>
                  </w:tcBorders>
                  <w:vAlign w:val="top"/>
                </w:tcPr>
                <w:p>
                  <w:pPr>
                    <w:jc w:val="both"/>
                  </w:pPr>
                  <w:r>
                    <w:rPr>
                      <w:sz w:val="21"/>
                    </w:rPr>
                    <w:t>30</w:t>
                  </w:r>
                </w:p>
              </w:tc>
              <w:tc>
                <w:tcPr>
                  <w:tcW w:type="dxa" w:w="1207"/>
                  <w:tcBorders>
                    <w:top w:val="none" w:color="000000" w:sz="4"/>
                    <w:left w:val="none" w:color="000000" w:sz="4"/>
                    <w:bottom w:val="single" w:color="000000" w:sz="4"/>
                    <w:right w:val="single" w:color="000000" w:sz="4"/>
                  </w:tcBorders>
                  <w:vAlign w:val="top"/>
                </w:tcPr>
                <w:p>
                  <w:pPr>
                    <w:jc w:val="left"/>
                  </w:pPr>
                  <w:r>
                    <w:rPr>
                      <w:sz w:val="21"/>
                    </w:rPr>
                    <w:t>点型感温火灾探测器</w:t>
                  </w:r>
                </w:p>
              </w:tc>
              <w:tc>
                <w:tcPr>
                  <w:tcW w:type="dxa" w:w="2867"/>
                  <w:tcBorders>
                    <w:top w:val="none" w:color="000000" w:sz="4"/>
                    <w:left w:val="none" w:color="000000" w:sz="4"/>
                    <w:bottom w:val="single" w:color="000000" w:sz="4"/>
                    <w:right w:val="single" w:color="000000" w:sz="4"/>
                  </w:tcBorders>
                  <w:vAlign w:val="top"/>
                </w:tcPr>
                <w:p>
                  <w:pPr>
                    <w:jc w:val="left"/>
                  </w:pPr>
                  <w:r>
                    <w:rPr>
                      <w:sz w:val="21"/>
                    </w:rPr>
                    <w:t>工作电压</w:t>
                  </w:r>
                  <w:r>
                    <w:rPr>
                      <w:sz w:val="21"/>
                    </w:rPr>
                    <w:t>:DC24V±15%</w:t>
                  </w:r>
                </w:p>
                <w:p>
                  <w:pPr>
                    <w:jc w:val="left"/>
                  </w:pPr>
                  <w:r>
                    <w:rPr>
                      <w:sz w:val="21"/>
                    </w:rPr>
                    <w:t>保护面积</w:t>
                  </w:r>
                  <w:r>
                    <w:rPr>
                      <w:sz w:val="21"/>
                    </w:rPr>
                    <w:t>80</w:t>
                  </w:r>
                  <w:r>
                    <w:rPr>
                      <w:sz w:val="21"/>
                    </w:rPr>
                    <w:t>㎡</w:t>
                  </w:r>
                </w:p>
                <w:p>
                  <w:pPr>
                    <w:jc w:val="left"/>
                  </w:pPr>
                  <w:r>
                    <w:rPr>
                      <w:sz w:val="21"/>
                    </w:rPr>
                    <w:t>使用环境：温度：</w:t>
                  </w:r>
                  <w:r>
                    <w:rPr>
                      <w:sz w:val="21"/>
                    </w:rPr>
                    <w:t>-10℃</w:t>
                  </w:r>
                  <w:r>
                    <w:rPr>
                      <w:sz w:val="21"/>
                    </w:rPr>
                    <w:t>～</w:t>
                  </w:r>
                  <w:r>
                    <w:rPr>
                      <w:sz w:val="21"/>
                    </w:rPr>
                    <w:t>+55℃</w:t>
                  </w:r>
                </w:p>
                <w:p>
                  <w:pPr>
                    <w:jc w:val="left"/>
                  </w:pPr>
                  <w:r>
                    <w:rPr>
                      <w:sz w:val="21"/>
                    </w:rPr>
                    <w:t>相对湿度：</w:t>
                  </w:r>
                  <w:r>
                    <w:rPr>
                      <w:sz w:val="21"/>
                    </w:rPr>
                    <w:t>≤95%</w:t>
                  </w:r>
                  <w:r>
                    <w:rPr>
                      <w:sz w:val="21"/>
                    </w:rPr>
                    <w:t>（</w:t>
                  </w:r>
                  <w:r>
                    <w:rPr>
                      <w:sz w:val="21"/>
                    </w:rPr>
                    <w:t>40℃±2℃</w:t>
                  </w:r>
                  <w:r>
                    <w:rPr>
                      <w:sz w:val="21"/>
                    </w:rPr>
                    <w:t>）</w:t>
                  </w:r>
                </w:p>
              </w:tc>
              <w:tc>
                <w:tcPr>
                  <w:tcW w:type="dxa" w:w="483"/>
                  <w:tcBorders>
                    <w:top w:val="none" w:color="000000" w:sz="4"/>
                    <w:left w:val="none" w:color="000000" w:sz="4"/>
                    <w:bottom w:val="single" w:color="000000" w:sz="4"/>
                    <w:right w:val="single" w:color="000000" w:sz="4"/>
                  </w:tcBorders>
                  <w:vAlign w:val="top"/>
                </w:tcPr>
                <w:p>
                  <w:pPr>
                    <w:jc w:val="center"/>
                  </w:pPr>
                  <w:r>
                    <w:rPr>
                      <w:sz w:val="21"/>
                    </w:rPr>
                    <w:t>16</w:t>
                  </w:r>
                </w:p>
              </w:tc>
              <w:tc>
                <w:tcPr>
                  <w:tcW w:type="dxa" w:w="528"/>
                  <w:tcBorders>
                    <w:top w:val="none" w:color="000000" w:sz="4"/>
                    <w:left w:val="none" w:color="000000" w:sz="4"/>
                    <w:bottom w:val="single" w:color="000000" w:sz="4"/>
                    <w:right w:val="single" w:color="000000" w:sz="4"/>
                  </w:tcBorders>
                  <w:vAlign w:val="top"/>
                </w:tcPr>
                <w:p>
                  <w:pPr>
                    <w:jc w:val="center"/>
                  </w:pPr>
                  <w:r>
                    <w:rPr>
                      <w:sz w:val="21"/>
                    </w:rPr>
                    <w:t>个</w:t>
                  </w:r>
                </w:p>
              </w:tc>
            </w:tr>
            <w:tr>
              <w:tc>
                <w:tcPr>
                  <w:tcW w:type="dxa" w:w="513"/>
                  <w:tcBorders>
                    <w:top w:val="none" w:color="000000" w:sz="4"/>
                    <w:left w:val="single" w:color="000000" w:sz="4"/>
                    <w:bottom w:val="single" w:color="000000" w:sz="4"/>
                    <w:right w:val="single" w:color="000000" w:sz="4"/>
                  </w:tcBorders>
                  <w:vAlign w:val="top"/>
                </w:tcPr>
                <w:p>
                  <w:pPr>
                    <w:jc w:val="both"/>
                  </w:pPr>
                  <w:r>
                    <w:rPr>
                      <w:sz w:val="21"/>
                    </w:rPr>
                    <w:t>31</w:t>
                  </w:r>
                </w:p>
              </w:tc>
              <w:tc>
                <w:tcPr>
                  <w:tcW w:type="dxa" w:w="1207"/>
                  <w:tcBorders>
                    <w:top w:val="none" w:color="000000" w:sz="4"/>
                    <w:left w:val="none" w:color="000000" w:sz="4"/>
                    <w:bottom w:val="single" w:color="000000" w:sz="4"/>
                    <w:right w:val="single" w:color="000000" w:sz="4"/>
                  </w:tcBorders>
                  <w:vAlign w:val="top"/>
                </w:tcPr>
                <w:p>
                  <w:pPr>
                    <w:jc w:val="left"/>
                  </w:pPr>
                  <w:r>
                    <w:rPr>
                      <w:sz w:val="21"/>
                    </w:rPr>
                    <w:t>手持编码器</w:t>
                  </w:r>
                </w:p>
              </w:tc>
              <w:tc>
                <w:tcPr>
                  <w:tcW w:type="dxa" w:w="2867"/>
                  <w:tcBorders>
                    <w:top w:val="none" w:color="000000" w:sz="4"/>
                    <w:left w:val="none" w:color="000000" w:sz="4"/>
                    <w:bottom w:val="single" w:color="000000" w:sz="4"/>
                    <w:right w:val="single" w:color="000000" w:sz="4"/>
                  </w:tcBorders>
                  <w:vAlign w:val="top"/>
                </w:tcPr>
                <w:p>
                  <w:pPr>
                    <w:jc w:val="left"/>
                  </w:pPr>
                  <w:r>
                    <w:rPr>
                      <w:sz w:val="21"/>
                    </w:rPr>
                    <w:t>工作电压：</w:t>
                  </w:r>
                  <w:r>
                    <w:rPr>
                      <w:sz w:val="21"/>
                    </w:rPr>
                    <w:t>DC5V.</w:t>
                  </w:r>
                  <w:r>
                    <w:rPr>
                      <w:sz w:val="21"/>
                    </w:rPr>
                    <w:t>可外接</w:t>
                  </w:r>
                  <w:r>
                    <w:rPr>
                      <w:sz w:val="21"/>
                    </w:rPr>
                    <w:t>5V</w:t>
                  </w:r>
                  <w:r>
                    <w:rPr>
                      <w:sz w:val="21"/>
                    </w:rPr>
                    <w:t>适配器对电池充电或直接作为工作电源。</w:t>
                  </w:r>
                </w:p>
                <w:p>
                  <w:pPr>
                    <w:jc w:val="left"/>
                  </w:pPr>
                  <w:r>
                    <w:rPr>
                      <w:sz w:val="21"/>
                    </w:rPr>
                    <w:t>备用电源：内置</w:t>
                  </w:r>
                  <w:r>
                    <w:rPr>
                      <w:sz w:val="21"/>
                    </w:rPr>
                    <w:t>2400mAh</w:t>
                  </w:r>
                  <w:r>
                    <w:rPr>
                      <w:sz w:val="21"/>
                    </w:rPr>
                    <w:t>锂电池。</w:t>
                  </w:r>
                </w:p>
                <w:p>
                  <w:pPr>
                    <w:jc w:val="left"/>
                  </w:pPr>
                  <w:r>
                    <w:rPr>
                      <w:sz w:val="21"/>
                    </w:rPr>
                    <w:t>输出容量：恒输出电流</w:t>
                  </w:r>
                  <w:r>
                    <w:rPr>
                      <w:sz w:val="21"/>
                    </w:rPr>
                    <w:t>200mA</w:t>
                  </w:r>
                  <w:r>
                    <w:rPr>
                      <w:sz w:val="21"/>
                    </w:rPr>
                    <w:t>，脉冲输出电流</w:t>
                  </w:r>
                  <w:r>
                    <w:rPr>
                      <w:sz w:val="21"/>
                    </w:rPr>
                    <w:t>500mA@50ms</w:t>
                  </w:r>
                  <w:r>
                    <w:rPr>
                      <w:sz w:val="21"/>
                    </w:rPr>
                    <w:t>。</w:t>
                  </w:r>
                </w:p>
                <w:p>
                  <w:pPr>
                    <w:jc w:val="left"/>
                  </w:pPr>
                  <w:r>
                    <w:rPr>
                      <w:sz w:val="21"/>
                    </w:rPr>
                    <w:t>工作环境：温度</w:t>
                  </w:r>
                  <w:r>
                    <w:rPr>
                      <w:sz w:val="21"/>
                    </w:rPr>
                    <w:t>-20℃-60℃</w:t>
                  </w:r>
                </w:p>
                <w:p>
                  <w:pPr>
                    <w:jc w:val="left"/>
                  </w:pPr>
                  <w:r>
                    <w:rPr>
                      <w:sz w:val="21"/>
                    </w:rPr>
                    <w:t>相对温度</w:t>
                  </w:r>
                  <w:r>
                    <w:rPr>
                      <w:sz w:val="21"/>
                    </w:rPr>
                    <w:t>5%-95%</w:t>
                  </w:r>
                </w:p>
              </w:tc>
              <w:tc>
                <w:tcPr>
                  <w:tcW w:type="dxa" w:w="483"/>
                  <w:tcBorders>
                    <w:top w:val="none" w:color="000000" w:sz="4"/>
                    <w:left w:val="none" w:color="000000" w:sz="4"/>
                    <w:bottom w:val="single" w:color="000000" w:sz="4"/>
                    <w:right w:val="single" w:color="000000" w:sz="4"/>
                  </w:tcBorders>
                  <w:vAlign w:val="top"/>
                </w:tcPr>
                <w:p>
                  <w:pPr>
                    <w:jc w:val="center"/>
                  </w:pPr>
                  <w:r>
                    <w:rPr>
                      <w:sz w:val="21"/>
                    </w:rPr>
                    <w:t>1</w:t>
                  </w:r>
                </w:p>
              </w:tc>
              <w:tc>
                <w:tcPr>
                  <w:tcW w:type="dxa" w:w="528"/>
                  <w:tcBorders>
                    <w:top w:val="none" w:color="000000" w:sz="4"/>
                    <w:left w:val="none" w:color="000000" w:sz="4"/>
                    <w:bottom w:val="single" w:color="000000" w:sz="4"/>
                    <w:right w:val="single" w:color="000000" w:sz="4"/>
                  </w:tcBorders>
                  <w:vAlign w:val="top"/>
                </w:tcPr>
                <w:p>
                  <w:pPr>
                    <w:jc w:val="center"/>
                  </w:pPr>
                  <w:r>
                    <w:rPr>
                      <w:sz w:val="21"/>
                    </w:rPr>
                    <w:t>个</w:t>
                  </w:r>
                </w:p>
              </w:tc>
            </w:tr>
            <w:tr>
              <w:tc>
                <w:tcPr>
                  <w:tcW w:type="dxa" w:w="513"/>
                  <w:tcBorders>
                    <w:top w:val="none" w:color="000000" w:sz="4"/>
                    <w:left w:val="single" w:color="000000" w:sz="4"/>
                    <w:bottom w:val="single" w:color="000000" w:sz="4"/>
                    <w:right w:val="single" w:color="000000" w:sz="4"/>
                  </w:tcBorders>
                  <w:vAlign w:val="top"/>
                </w:tcPr>
                <w:p>
                  <w:pPr>
                    <w:ind w:firstLine="210"/>
                    <w:jc w:val="left"/>
                  </w:pPr>
                  <w:r>
                    <w:rPr>
                      <w:sz w:val="21"/>
                    </w:rPr>
                    <w:t>32</w:t>
                  </w:r>
                </w:p>
              </w:tc>
              <w:tc>
                <w:tcPr>
                  <w:tcW w:type="dxa" w:w="1207"/>
                  <w:tcBorders>
                    <w:top w:val="none" w:color="000000" w:sz="4"/>
                    <w:left w:val="none" w:color="000000" w:sz="4"/>
                    <w:bottom w:val="single" w:color="000000" w:sz="4"/>
                    <w:right w:val="single" w:color="000000" w:sz="4"/>
                  </w:tcBorders>
                  <w:vAlign w:val="top"/>
                </w:tcPr>
                <w:p>
                  <w:pPr>
                    <w:jc w:val="left"/>
                  </w:pPr>
                  <w:r>
                    <w:rPr>
                      <w:sz w:val="21"/>
                    </w:rPr>
                    <w:t>阻燃电线</w:t>
                  </w:r>
                </w:p>
              </w:tc>
              <w:tc>
                <w:tcPr>
                  <w:tcW w:type="dxa" w:w="2867"/>
                  <w:tcBorders>
                    <w:top w:val="none" w:color="000000" w:sz="4"/>
                    <w:left w:val="none" w:color="000000" w:sz="4"/>
                    <w:bottom w:val="single" w:color="000000" w:sz="4"/>
                    <w:right w:val="single" w:color="000000" w:sz="4"/>
                  </w:tcBorders>
                  <w:vAlign w:val="top"/>
                </w:tcPr>
                <w:p>
                  <w:pPr>
                    <w:jc w:val="left"/>
                  </w:pPr>
                  <w:r>
                    <w:rPr>
                      <w:sz w:val="21"/>
                    </w:rPr>
                    <w:t>1.0mm</w:t>
                  </w:r>
                </w:p>
              </w:tc>
              <w:tc>
                <w:tcPr>
                  <w:tcW w:type="dxa" w:w="483"/>
                  <w:tcBorders>
                    <w:top w:val="none" w:color="000000" w:sz="4"/>
                    <w:left w:val="none" w:color="000000" w:sz="4"/>
                    <w:bottom w:val="single" w:color="000000" w:sz="4"/>
                    <w:right w:val="single" w:color="000000" w:sz="4"/>
                  </w:tcBorders>
                  <w:vAlign w:val="top"/>
                </w:tcPr>
                <w:p>
                  <w:pPr>
                    <w:jc w:val="center"/>
                  </w:pPr>
                  <w:r>
                    <w:rPr>
                      <w:sz w:val="21"/>
                    </w:rPr>
                    <w:t>600</w:t>
                  </w:r>
                </w:p>
              </w:tc>
              <w:tc>
                <w:tcPr>
                  <w:tcW w:type="dxa" w:w="528"/>
                  <w:tcBorders>
                    <w:top w:val="none" w:color="000000" w:sz="4"/>
                    <w:left w:val="none" w:color="000000" w:sz="4"/>
                    <w:bottom w:val="single" w:color="000000" w:sz="4"/>
                    <w:right w:val="single" w:color="000000" w:sz="4"/>
                  </w:tcBorders>
                  <w:vAlign w:val="top"/>
                </w:tcPr>
                <w:p>
                  <w:pPr>
                    <w:jc w:val="center"/>
                  </w:pPr>
                  <w:r>
                    <w:rPr>
                      <w:sz w:val="21"/>
                    </w:rPr>
                    <w:t>米</w:t>
                  </w:r>
                </w:p>
              </w:tc>
            </w:tr>
            <w:tr>
              <w:tc>
                <w:tcPr>
                  <w:tcW w:type="dxa" w:w="513"/>
                  <w:tcBorders>
                    <w:top w:val="none" w:color="000000" w:sz="4"/>
                    <w:left w:val="single" w:color="000000" w:sz="4"/>
                    <w:bottom w:val="single" w:color="000000" w:sz="4"/>
                    <w:right w:val="single" w:color="000000" w:sz="4"/>
                  </w:tcBorders>
                  <w:vAlign w:val="top"/>
                </w:tcPr>
                <w:p>
                  <w:pPr>
                    <w:ind w:firstLine="210"/>
                    <w:jc w:val="left"/>
                  </w:pPr>
                  <w:r>
                    <w:rPr>
                      <w:sz w:val="21"/>
                    </w:rPr>
                    <w:t>33</w:t>
                  </w:r>
                </w:p>
              </w:tc>
              <w:tc>
                <w:tcPr>
                  <w:tcW w:type="dxa" w:w="1207"/>
                  <w:tcBorders>
                    <w:top w:val="none" w:color="000000" w:sz="4"/>
                    <w:left w:val="none" w:color="000000" w:sz="4"/>
                    <w:bottom w:val="single" w:color="000000" w:sz="4"/>
                    <w:right w:val="single" w:color="000000" w:sz="4"/>
                  </w:tcBorders>
                  <w:vAlign w:val="top"/>
                </w:tcPr>
                <w:p>
                  <w:pPr>
                    <w:jc w:val="left"/>
                  </w:pPr>
                  <w:r>
                    <w:rPr>
                      <w:sz w:val="21"/>
                    </w:rPr>
                    <w:t>阻燃电线</w:t>
                  </w:r>
                </w:p>
              </w:tc>
              <w:tc>
                <w:tcPr>
                  <w:tcW w:type="dxa" w:w="2867"/>
                  <w:tcBorders>
                    <w:top w:val="none" w:color="000000" w:sz="4"/>
                    <w:left w:val="none" w:color="000000" w:sz="4"/>
                    <w:bottom w:val="single" w:color="000000" w:sz="4"/>
                    <w:right w:val="single" w:color="000000" w:sz="4"/>
                  </w:tcBorders>
                  <w:vAlign w:val="top"/>
                </w:tcPr>
                <w:p>
                  <w:pPr>
                    <w:jc w:val="left"/>
                  </w:pPr>
                  <w:r>
                    <w:rPr>
                      <w:sz w:val="21"/>
                    </w:rPr>
                    <w:t>1.5mm</w:t>
                  </w:r>
                </w:p>
              </w:tc>
              <w:tc>
                <w:tcPr>
                  <w:tcW w:type="dxa" w:w="483"/>
                  <w:tcBorders>
                    <w:top w:val="none" w:color="000000" w:sz="4"/>
                    <w:left w:val="none" w:color="000000" w:sz="4"/>
                    <w:bottom w:val="single" w:color="000000" w:sz="4"/>
                    <w:right w:val="single" w:color="000000" w:sz="4"/>
                  </w:tcBorders>
                  <w:vAlign w:val="top"/>
                </w:tcPr>
                <w:p>
                  <w:pPr>
                    <w:jc w:val="center"/>
                  </w:pPr>
                  <w:r>
                    <w:rPr>
                      <w:sz w:val="21"/>
                    </w:rPr>
                    <w:t>300</w:t>
                  </w:r>
                </w:p>
              </w:tc>
              <w:tc>
                <w:tcPr>
                  <w:tcW w:type="dxa" w:w="528"/>
                  <w:tcBorders>
                    <w:top w:val="none" w:color="000000" w:sz="4"/>
                    <w:left w:val="none" w:color="000000" w:sz="4"/>
                    <w:bottom w:val="single" w:color="000000" w:sz="4"/>
                    <w:right w:val="single" w:color="000000" w:sz="4"/>
                  </w:tcBorders>
                  <w:vAlign w:val="top"/>
                </w:tcPr>
                <w:p>
                  <w:pPr>
                    <w:jc w:val="center"/>
                  </w:pPr>
                  <w:r>
                    <w:rPr>
                      <w:sz w:val="21"/>
                    </w:rPr>
                    <w:t>米</w:t>
                  </w:r>
                </w:p>
              </w:tc>
            </w:tr>
            <w:tr>
              <w:tc>
                <w:tcPr>
                  <w:tcW w:type="dxa" w:w="513"/>
                  <w:tcBorders>
                    <w:top w:val="none" w:color="000000" w:sz="4"/>
                    <w:left w:val="single" w:color="000000" w:sz="4"/>
                    <w:bottom w:val="single" w:color="000000" w:sz="4"/>
                    <w:right w:val="single" w:color="000000" w:sz="4"/>
                  </w:tcBorders>
                  <w:vAlign w:val="top"/>
                </w:tcPr>
                <w:p>
                  <w:pPr>
                    <w:jc w:val="left"/>
                  </w:pPr>
                  <w:r>
                    <w:rPr>
                      <w:sz w:val="21"/>
                    </w:rPr>
                    <w:t>34</w:t>
                  </w:r>
                </w:p>
              </w:tc>
              <w:tc>
                <w:tcPr>
                  <w:tcW w:type="dxa" w:w="1207"/>
                  <w:tcBorders>
                    <w:top w:val="none" w:color="000000" w:sz="4"/>
                    <w:left w:val="none" w:color="000000" w:sz="4"/>
                    <w:bottom w:val="single" w:color="000000" w:sz="4"/>
                    <w:right w:val="single" w:color="000000" w:sz="4"/>
                  </w:tcBorders>
                  <w:vAlign w:val="top"/>
                </w:tcPr>
                <w:p>
                  <w:pPr>
                    <w:jc w:val="left"/>
                  </w:pPr>
                  <w:r>
                    <w:rPr>
                      <w:sz w:val="21"/>
                    </w:rPr>
                    <w:t>金属线管</w:t>
                  </w:r>
                </w:p>
              </w:tc>
              <w:tc>
                <w:tcPr>
                  <w:tcW w:type="dxa" w:w="2867"/>
                  <w:tcBorders>
                    <w:top w:val="none" w:color="000000" w:sz="4"/>
                    <w:left w:val="none" w:color="000000" w:sz="4"/>
                    <w:bottom w:val="single" w:color="000000" w:sz="4"/>
                    <w:right w:val="single" w:color="000000" w:sz="4"/>
                  </w:tcBorders>
                  <w:vAlign w:val="top"/>
                </w:tcPr>
                <w:p>
                  <w:pPr>
                    <w:jc w:val="left"/>
                  </w:pPr>
                  <w:r>
                    <w:rPr>
                      <w:sz w:val="21"/>
                    </w:rPr>
                    <w:t>符合国标</w:t>
                  </w:r>
                </w:p>
              </w:tc>
              <w:tc>
                <w:tcPr>
                  <w:tcW w:type="dxa" w:w="483"/>
                  <w:tcBorders>
                    <w:top w:val="none" w:color="000000" w:sz="4"/>
                    <w:left w:val="none" w:color="000000" w:sz="4"/>
                    <w:bottom w:val="single" w:color="000000" w:sz="4"/>
                    <w:right w:val="single" w:color="000000" w:sz="4"/>
                  </w:tcBorders>
                  <w:vAlign w:val="top"/>
                </w:tcPr>
                <w:p>
                  <w:pPr>
                    <w:jc w:val="center"/>
                  </w:pPr>
                  <w:r>
                    <w:rPr>
                      <w:sz w:val="21"/>
                    </w:rPr>
                    <w:t>220</w:t>
                  </w:r>
                </w:p>
              </w:tc>
              <w:tc>
                <w:tcPr>
                  <w:tcW w:type="dxa" w:w="528"/>
                  <w:tcBorders>
                    <w:top w:val="none" w:color="000000" w:sz="4"/>
                    <w:left w:val="none" w:color="000000" w:sz="4"/>
                    <w:bottom w:val="single" w:color="000000" w:sz="4"/>
                    <w:right w:val="single" w:color="000000" w:sz="4"/>
                  </w:tcBorders>
                  <w:vAlign w:val="top"/>
                </w:tcPr>
                <w:p>
                  <w:pPr>
                    <w:jc w:val="center"/>
                  </w:pPr>
                  <w:r>
                    <w:rPr>
                      <w:sz w:val="21"/>
                    </w:rPr>
                    <w:t>米</w:t>
                  </w:r>
                </w:p>
              </w:tc>
            </w:tr>
            <w:tr>
              <w:tc>
                <w:tcPr>
                  <w:tcW w:type="dxa" w:w="513"/>
                  <w:tcBorders>
                    <w:top w:val="none" w:color="000000" w:sz="4"/>
                    <w:left w:val="single" w:color="000000" w:sz="4"/>
                    <w:bottom w:val="single" w:color="000000" w:sz="4"/>
                    <w:right w:val="single" w:color="000000" w:sz="4"/>
                  </w:tcBorders>
                  <w:vAlign w:val="top"/>
                </w:tcPr>
                <w:p>
                  <w:pPr>
                    <w:ind w:firstLine="210"/>
                    <w:jc w:val="left"/>
                  </w:pPr>
                  <w:r>
                    <w:rPr>
                      <w:sz w:val="21"/>
                    </w:rPr>
                    <w:t>35</w:t>
                  </w:r>
                </w:p>
              </w:tc>
              <w:tc>
                <w:tcPr>
                  <w:tcW w:type="dxa" w:w="1207"/>
                  <w:tcBorders>
                    <w:top w:val="none" w:color="000000" w:sz="4"/>
                    <w:left w:val="none" w:color="000000" w:sz="4"/>
                    <w:bottom w:val="single" w:color="000000" w:sz="4"/>
                    <w:right w:val="single" w:color="000000" w:sz="4"/>
                  </w:tcBorders>
                  <w:vAlign w:val="top"/>
                </w:tcPr>
                <w:p>
                  <w:pPr>
                    <w:jc w:val="left"/>
                  </w:pPr>
                  <w:r>
                    <w:rPr>
                      <w:sz w:val="21"/>
                    </w:rPr>
                    <w:t>接线盒</w:t>
                  </w:r>
                </w:p>
              </w:tc>
              <w:tc>
                <w:tcPr>
                  <w:tcW w:type="dxa" w:w="2867"/>
                  <w:tcBorders>
                    <w:top w:val="none" w:color="000000" w:sz="4"/>
                    <w:left w:val="none" w:color="000000" w:sz="4"/>
                    <w:bottom w:val="single" w:color="000000" w:sz="4"/>
                    <w:right w:val="single" w:color="000000" w:sz="4"/>
                  </w:tcBorders>
                  <w:vAlign w:val="top"/>
                </w:tcPr>
                <w:p>
                  <w:pPr>
                    <w:jc w:val="left"/>
                  </w:pPr>
                  <w:r>
                    <w:rPr>
                      <w:sz w:val="21"/>
                    </w:rPr>
                    <w:t>符合国标</w:t>
                  </w:r>
                </w:p>
              </w:tc>
              <w:tc>
                <w:tcPr>
                  <w:tcW w:type="dxa" w:w="483"/>
                  <w:tcBorders>
                    <w:top w:val="none" w:color="000000" w:sz="4"/>
                    <w:left w:val="none" w:color="000000" w:sz="4"/>
                    <w:bottom w:val="single" w:color="000000" w:sz="4"/>
                    <w:right w:val="single" w:color="000000" w:sz="4"/>
                  </w:tcBorders>
                  <w:vAlign w:val="top"/>
                </w:tcPr>
                <w:p>
                  <w:pPr>
                    <w:jc w:val="center"/>
                  </w:pPr>
                  <w:r>
                    <w:rPr>
                      <w:sz w:val="21"/>
                    </w:rPr>
                    <w:t>110</w:t>
                  </w:r>
                </w:p>
              </w:tc>
              <w:tc>
                <w:tcPr>
                  <w:tcW w:type="dxa" w:w="528"/>
                  <w:tcBorders>
                    <w:top w:val="none" w:color="000000" w:sz="4"/>
                    <w:left w:val="none" w:color="000000" w:sz="4"/>
                    <w:bottom w:val="single" w:color="000000" w:sz="4"/>
                    <w:right w:val="single" w:color="000000" w:sz="4"/>
                  </w:tcBorders>
                  <w:vAlign w:val="top"/>
                </w:tcPr>
                <w:p>
                  <w:pPr>
                    <w:jc w:val="center"/>
                  </w:pPr>
                  <w:r>
                    <w:rPr>
                      <w:sz w:val="21"/>
                    </w:rPr>
                    <w:t>个</w:t>
                  </w:r>
                </w:p>
              </w:tc>
            </w:tr>
            <w:tr>
              <w:tc>
                <w:tcPr>
                  <w:tcW w:type="dxa" w:w="513"/>
                  <w:tcBorders>
                    <w:top w:val="none" w:color="000000" w:sz="4"/>
                    <w:left w:val="single" w:color="000000" w:sz="4"/>
                    <w:bottom w:val="single" w:color="000000" w:sz="4"/>
                    <w:right w:val="single" w:color="000000" w:sz="4"/>
                  </w:tcBorders>
                  <w:vAlign w:val="top"/>
                </w:tcPr>
                <w:p>
                  <w:pPr>
                    <w:jc w:val="left"/>
                  </w:pPr>
                  <w:r>
                    <w:rPr>
                      <w:sz w:val="21"/>
                    </w:rPr>
                    <w:t>36</w:t>
                  </w:r>
                </w:p>
              </w:tc>
              <w:tc>
                <w:tcPr>
                  <w:tcW w:type="dxa" w:w="1207"/>
                  <w:tcBorders>
                    <w:top w:val="none" w:color="000000" w:sz="4"/>
                    <w:left w:val="none" w:color="000000" w:sz="4"/>
                    <w:bottom w:val="single" w:color="000000" w:sz="4"/>
                    <w:right w:val="single" w:color="000000" w:sz="4"/>
                  </w:tcBorders>
                  <w:vAlign w:val="top"/>
                </w:tcPr>
                <w:p>
                  <w:pPr>
                    <w:jc w:val="left"/>
                  </w:pPr>
                  <w:r>
                    <w:rPr>
                      <w:sz w:val="21"/>
                    </w:rPr>
                    <w:t>辅材</w:t>
                  </w:r>
                </w:p>
              </w:tc>
              <w:tc>
                <w:tcPr>
                  <w:tcW w:type="dxa" w:w="2867"/>
                  <w:tcBorders>
                    <w:top w:val="none" w:color="000000" w:sz="4"/>
                    <w:left w:val="none" w:color="000000" w:sz="4"/>
                    <w:bottom w:val="single" w:color="000000" w:sz="4"/>
                    <w:right w:val="single" w:color="000000" w:sz="4"/>
                  </w:tcBorders>
                  <w:vAlign w:val="top"/>
                </w:tcPr>
                <w:p>
                  <w:pPr>
                    <w:jc w:val="left"/>
                  </w:pPr>
                  <w:r>
                    <w:rPr>
                      <w:sz w:val="21"/>
                    </w:rPr>
                    <w:t>网线、电缆、镀锌管、配件、铜管、支架等</w:t>
                  </w:r>
                </w:p>
              </w:tc>
              <w:tc>
                <w:tcPr>
                  <w:tcW w:type="dxa" w:w="483"/>
                  <w:tcBorders>
                    <w:top w:val="none" w:color="000000" w:sz="4"/>
                    <w:left w:val="none" w:color="000000" w:sz="4"/>
                    <w:bottom w:val="single" w:color="000000" w:sz="4"/>
                    <w:right w:val="single" w:color="000000" w:sz="4"/>
                  </w:tcBorders>
                  <w:vAlign w:val="top"/>
                </w:tcPr>
                <w:p>
                  <w:pPr>
                    <w:jc w:val="center"/>
                  </w:pPr>
                  <w:r>
                    <w:rPr>
                      <w:sz w:val="21"/>
                    </w:rPr>
                    <w:t>1</w:t>
                  </w:r>
                </w:p>
              </w:tc>
              <w:tc>
                <w:tcPr>
                  <w:tcW w:type="dxa" w:w="528"/>
                  <w:tcBorders>
                    <w:top w:val="none" w:color="000000" w:sz="4"/>
                    <w:left w:val="none" w:color="000000" w:sz="4"/>
                    <w:bottom w:val="single" w:color="000000" w:sz="4"/>
                    <w:right w:val="single" w:color="000000" w:sz="4"/>
                  </w:tcBorders>
                  <w:vAlign w:val="top"/>
                </w:tcPr>
                <w:p>
                  <w:pPr>
                    <w:jc w:val="center"/>
                  </w:pPr>
                  <w:r>
                    <w:rPr>
                      <w:sz w:val="21"/>
                    </w:rPr>
                    <w:t>批</w:t>
                  </w:r>
                </w:p>
              </w:tc>
            </w:tr>
          </w:tbl>
        </w:tc>
      </w:tr>
      <w:tr>
        <w:tc>
          <w:tcPr>
            <w:tcW w:type="dxa" w:w="2076"/>
          </w:tcPr>
          <w:p>
            <w:r>
              <w:rPr/>
              <w:t>说明</w:t>
            </w:r>
          </w:p>
        </w:tc>
        <w:tc>
          <w:tcPr>
            <w:tcW w:type="dxa" w:w="6229"/>
            <w:gridSpan w:val="2"/>
          </w:tcPr>
          <w:p>
            <w:pPr>
              <w:jc w:val="left"/>
            </w:pPr>
            <w:r>
              <w:rPr/>
              <w:t>打“★”号条款为实质性条款，若有任何一条负偏离或不满足则导致投标无效。</w:t>
            </w:r>
            <w:r>
              <w:br/>
            </w:r>
            <w:r>
              <w:rPr/>
              <w:t>打“▲”号条款为重要技术参数，若有部分“▲”条款未响应或不满足，将导致其响应性评审加重扣分，但不作为无效投标条款。</w:t>
            </w:r>
          </w:p>
        </w:tc>
      </w:tr>
    </w:tbl>
    <w:p>
      <w:r>
        <w:rPr>
          <w:b/>
        </w:rPr>
        <w:t>附表</w:t>
      </w:r>
      <w:r>
        <w:rPr>
          <w:b/>
        </w:rPr>
        <w:t>三</w:t>
      </w:r>
      <w:r>
        <w:rPr>
          <w:b/>
        </w:rPr>
        <w:t>：</w:t>
      </w:r>
      <w:r>
        <w:rPr>
          <w:b/>
        </w:rPr>
        <w:t>档案存储系统建设</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r>
              <w:rPr/>
              <w:t>参数性质</w:t>
            </w:r>
          </w:p>
        </w:tc>
        <w:tc>
          <w:tcPr>
            <w:tcW w:type="dxa" w:w="415"/>
          </w:tcPr>
          <w:p>
            <w:r>
              <w:rPr/>
              <w:t>序号</w:t>
            </w:r>
          </w:p>
        </w:tc>
        <w:tc>
          <w:tcPr>
            <w:tcW w:type="dxa" w:w="5814"/>
          </w:tcPr>
          <w:p>
            <w:r>
              <w:rPr/>
              <w:t>具体技术(参数)要求</w:t>
            </w:r>
          </w:p>
        </w:tc>
      </w:tr>
      <w:tr>
        <w:tc>
          <w:tcPr>
            <w:tcW w:type="dxa" w:w="2076"/>
          </w:tcPr>
          <w:p/>
        </w:tc>
        <w:tc>
          <w:tcPr>
            <w:tcW w:type="dxa" w:w="415"/>
          </w:tcPr>
          <w:p>
            <w:r>
              <w:rPr/>
              <w:t>1</w:t>
            </w:r>
          </w:p>
        </w:tc>
        <w:tc>
          <w:tcPr>
            <w:tcW w:type="dxa" w:w="5814"/>
          </w:tcPr>
          <w:p>
            <w:pPr>
              <w:jc w:val="both"/>
            </w:pPr>
            <w:r>
              <w:rPr>
                <w:b/>
                <w:sz w:val="21"/>
              </w:rPr>
              <w:t>一、标准依据</w:t>
            </w:r>
            <w:r>
              <w:rPr>
                <w:sz w:val="21"/>
              </w:rPr>
              <w:t xml:space="preserve">     </w:t>
            </w:r>
          </w:p>
          <w:p>
            <w:pPr>
              <w:ind w:firstLine="360"/>
              <w:jc w:val="left"/>
            </w:pPr>
            <w:r>
              <w:rPr>
                <w:sz w:val="21"/>
              </w:rPr>
              <w:t>GB/T13667.3-2013档案固定架技术条件</w:t>
            </w:r>
          </w:p>
          <w:p>
            <w:pPr>
              <w:ind w:firstLine="360"/>
              <w:jc w:val="left"/>
            </w:pPr>
            <w:r>
              <w:rPr>
                <w:sz w:val="21"/>
              </w:rPr>
              <w:t>GB/T13668钢制书柜、资料柜技术条件</w:t>
            </w:r>
          </w:p>
          <w:p>
            <w:pPr>
              <w:ind w:firstLine="360"/>
              <w:jc w:val="left"/>
            </w:pPr>
            <w:r>
              <w:rPr>
                <w:sz w:val="21"/>
              </w:rPr>
              <w:t>GB699优质碳素结构钢技术条件</w:t>
            </w:r>
          </w:p>
          <w:p>
            <w:pPr>
              <w:ind w:firstLine="360"/>
              <w:jc w:val="left"/>
            </w:pPr>
            <w:r>
              <w:rPr>
                <w:sz w:val="21"/>
              </w:rPr>
              <w:t>GB710优质碳素结构钢薄钢板技术条件</w:t>
            </w:r>
          </w:p>
          <w:p>
            <w:pPr>
              <w:ind w:firstLine="360"/>
              <w:jc w:val="left"/>
            </w:pPr>
            <w:r>
              <w:rPr>
                <w:sz w:val="21"/>
              </w:rPr>
              <w:t>GB711优质碳素结构钢热轧厚钢板技术条件</w:t>
            </w:r>
          </w:p>
          <w:p>
            <w:pPr>
              <w:ind w:firstLine="360"/>
              <w:jc w:val="left"/>
            </w:pPr>
            <w:r>
              <w:rPr>
                <w:sz w:val="21"/>
              </w:rPr>
              <w:t>GB6807-86钢铁工件涂前磷化处理技术条件的国家标准</w:t>
            </w:r>
          </w:p>
          <w:p>
            <w:pPr>
              <w:ind w:firstLine="360"/>
              <w:jc w:val="left"/>
            </w:pPr>
            <w:r>
              <w:rPr>
                <w:sz w:val="21"/>
              </w:rPr>
              <w:t>DA/T6-92档案装具</w:t>
            </w:r>
          </w:p>
          <w:p>
            <w:pPr>
              <w:jc w:val="both"/>
            </w:pPr>
            <w:r>
              <w:rPr>
                <w:sz w:val="21"/>
              </w:rPr>
              <w:t xml:space="preserve">    DA/T7-92直列式档案密集架</w:t>
            </w:r>
          </w:p>
        </w:tc>
      </w:tr>
      <w:tr>
        <w:tc>
          <w:tcPr>
            <w:tcW w:type="dxa" w:w="2076"/>
          </w:tcPr>
          <w:p/>
        </w:tc>
        <w:tc>
          <w:tcPr>
            <w:tcW w:type="dxa" w:w="415"/>
          </w:tcPr>
          <w:p>
            <w:r>
              <w:rPr/>
              <w:t>2</w:t>
            </w:r>
          </w:p>
        </w:tc>
        <w:tc>
          <w:tcPr>
            <w:tcW w:type="dxa" w:w="5814"/>
          </w:tcPr>
          <w:p>
            <w:pPr>
              <w:jc w:val="both"/>
            </w:pPr>
            <w:r>
              <w:rPr>
                <w:b/>
                <w:sz w:val="21"/>
              </w:rPr>
              <w:t>二、结构要求</w:t>
            </w:r>
          </w:p>
          <w:p>
            <w:pPr>
              <w:ind w:firstLine="360"/>
              <w:jc w:val="left"/>
            </w:pPr>
            <w:r>
              <w:rPr>
                <w:sz w:val="21"/>
              </w:rPr>
              <w:t>档案固定架体（包括立柱、挂板、搁板、顶板、</w:t>
            </w:r>
            <w:r>
              <w:rPr>
                <w:sz w:val="21"/>
              </w:rPr>
              <w:t>门板及侧护板）</w:t>
            </w:r>
            <w:r>
              <w:rPr>
                <w:sz w:val="21"/>
              </w:rPr>
              <w:t>等零（部）</w:t>
            </w:r>
            <w:r>
              <w:rPr>
                <w:sz w:val="21"/>
              </w:rPr>
              <w:t>件组合而成。</w:t>
            </w:r>
          </w:p>
          <w:p>
            <w:pPr>
              <w:jc w:val="both"/>
            </w:pPr>
            <w:r>
              <w:rPr>
                <w:sz w:val="21"/>
              </w:rPr>
              <w:t>搁板、挂板应可沿立柱的垂直方向自由调整高度，搁板孔间距为</w:t>
            </w:r>
            <w:r>
              <w:rPr>
                <w:sz w:val="21"/>
              </w:rPr>
              <w:t>50mm。</w:t>
            </w:r>
          </w:p>
        </w:tc>
      </w:tr>
      <w:tr>
        <w:tc>
          <w:tcPr>
            <w:tcW w:type="dxa" w:w="2076"/>
          </w:tcPr>
          <w:p/>
        </w:tc>
        <w:tc>
          <w:tcPr>
            <w:tcW w:type="dxa" w:w="415"/>
          </w:tcPr>
          <w:p>
            <w:r>
              <w:rPr/>
              <w:t>3</w:t>
            </w:r>
          </w:p>
        </w:tc>
        <w:tc>
          <w:tcPr>
            <w:tcW w:type="dxa" w:w="5814"/>
          </w:tcPr>
          <w:p>
            <w:pPr>
              <w:jc w:val="both"/>
            </w:pPr>
            <w:r>
              <w:rPr>
                <w:b/>
                <w:sz w:val="21"/>
              </w:rPr>
              <w:t>三、</w:t>
            </w:r>
            <w:r>
              <w:rPr>
                <w:b/>
                <w:sz w:val="21"/>
              </w:rPr>
              <w:t>传动</w:t>
            </w:r>
            <w:r>
              <w:rPr>
                <w:b/>
                <w:sz w:val="21"/>
              </w:rPr>
              <w:t>机构</w:t>
            </w:r>
            <w:r>
              <w:rPr>
                <w:b/>
                <w:sz w:val="21"/>
              </w:rPr>
              <w:t>要求</w:t>
            </w:r>
          </w:p>
          <w:p>
            <w:pPr>
              <w:ind w:firstLine="420"/>
              <w:jc w:val="both"/>
            </w:pPr>
            <w:r>
              <w:rPr>
                <w:sz w:val="21"/>
              </w:rPr>
              <w:t>1）传动机构主要由精铸滚轮、传动轴、连接管、调心轴承、精密滚子摩托车链条，机械式自脱超越离合摇手体，在负载情况下保持 轻便、灵活、平稳，不得有失灵现象。</w:t>
            </w:r>
          </w:p>
          <w:p>
            <w:pPr>
              <w:ind w:firstLine="420"/>
              <w:jc w:val="both"/>
            </w:pPr>
            <w:r>
              <w:rPr>
                <w:sz w:val="21"/>
              </w:rPr>
              <w:t>2）摇手柄：圆盘摇把，手柄可折叠，摇动轻便，手柄摇动时能自动挂挡，密集架处于从动或不动状态时，摇柄自行停于垂直位置。</w:t>
            </w:r>
          </w:p>
          <w:p>
            <w:pPr>
              <w:ind w:firstLine="420"/>
              <w:jc w:val="both"/>
            </w:pPr>
            <w:r>
              <w:rPr>
                <w:sz w:val="21"/>
              </w:rPr>
              <w:t>3）传动部件要求：</w:t>
            </w:r>
          </w:p>
          <w:p>
            <w:pPr>
              <w:ind w:firstLine="420"/>
              <w:jc w:val="both"/>
            </w:pPr>
            <w:r>
              <w:rPr>
                <w:sz w:val="21"/>
              </w:rPr>
              <w:t>①传动轴：材料使用020，45#冷拉实心圆钢，加工精度为3.2，经热处理调质。</w:t>
            </w:r>
          </w:p>
          <w:p>
            <w:pPr>
              <w:ind w:firstLine="420"/>
              <w:jc w:val="both"/>
            </w:pPr>
            <w:r>
              <w:rPr>
                <w:sz w:val="21"/>
              </w:rPr>
              <w:t>②链轮：采用链轮为12-48齿45#钢，经锻压精密加工 成型，回火去除应力，加工车、滚齿、插键槽、去毛齿、齿部经高频淬火。</w:t>
            </w:r>
          </w:p>
          <w:p>
            <w:pPr>
              <w:ind w:firstLine="420"/>
              <w:jc w:val="both"/>
            </w:pPr>
            <w:r>
              <w:rPr>
                <w:sz w:val="21"/>
              </w:rPr>
              <w:t>③轴承：采用P204E级调心轴承。</w:t>
            </w:r>
          </w:p>
          <w:p>
            <w:pPr>
              <w:ind w:firstLine="420"/>
              <w:jc w:val="both"/>
            </w:pPr>
            <w:r>
              <w:rPr>
                <w:sz w:val="21"/>
              </w:rPr>
              <w:t>④链条：采用08.5，节距12.7摩托车滚子链条。</w:t>
            </w:r>
          </w:p>
          <w:p>
            <w:pPr>
              <w:ind w:firstLine="420"/>
              <w:jc w:val="both"/>
            </w:pPr>
            <w:r>
              <w:rPr>
                <w:sz w:val="21"/>
              </w:rPr>
              <w:t>⑤摇手体：采用自脱挂式摇手。</w:t>
            </w:r>
          </w:p>
          <w:p>
            <w:pPr>
              <w:ind w:firstLine="420"/>
              <w:jc w:val="both"/>
            </w:pPr>
            <w:r>
              <w:rPr>
                <w:sz w:val="21"/>
              </w:rPr>
              <w:t>⑥紧固件为45#、Q235-A钢标准化零件。</w:t>
            </w:r>
          </w:p>
          <w:p>
            <w:pPr>
              <w:ind w:firstLine="420"/>
              <w:jc w:val="both"/>
            </w:pPr>
            <w:r>
              <w:rPr>
                <w:sz w:val="21"/>
              </w:rPr>
              <w:t>⑦滚轮为HT200铸铁，经加工成型。</w:t>
            </w:r>
          </w:p>
          <w:p>
            <w:pPr>
              <w:jc w:val="both"/>
            </w:pPr>
            <w:r>
              <w:rPr>
                <w:sz w:val="21"/>
              </w:rPr>
              <w:t xml:space="preserve">     ⑧连接管：采用优质钢管，表面镀锌防腐处理。</w:t>
            </w:r>
          </w:p>
        </w:tc>
      </w:tr>
      <w:tr>
        <w:tc>
          <w:tcPr>
            <w:tcW w:type="dxa" w:w="2076"/>
          </w:tcPr>
          <w:p/>
        </w:tc>
        <w:tc>
          <w:tcPr>
            <w:tcW w:type="dxa" w:w="415"/>
          </w:tcPr>
          <w:p>
            <w:r>
              <w:rPr/>
              <w:t>4</w:t>
            </w:r>
          </w:p>
        </w:tc>
        <w:tc>
          <w:tcPr>
            <w:tcW w:type="dxa" w:w="5814"/>
          </w:tcPr>
          <w:p>
            <w:pPr>
              <w:jc w:val="both"/>
            </w:pPr>
            <w:r>
              <w:rPr>
                <w:b/>
                <w:sz w:val="21"/>
              </w:rPr>
              <w:t>四、</w:t>
            </w:r>
            <w:r>
              <w:rPr>
                <w:b/>
                <w:sz w:val="21"/>
              </w:rPr>
              <w:t>底盘要求</w:t>
            </w:r>
          </w:p>
          <w:p>
            <w:pPr>
              <w:jc w:val="both"/>
            </w:pPr>
            <w:r>
              <w:rPr>
                <w:sz w:val="21"/>
              </w:rPr>
              <w:t>底盘采用分段焊接后整体组装式，连接牢固、运输、安装方便，底盘各段连接采用螺栓紧固，纵梁上按节距冲有槽，底盘节与节之间中隔板三折弯成型两头冲有矩形槽，正面折弯宽</w:t>
            </w:r>
            <w:r>
              <w:rPr>
                <w:sz w:val="21"/>
              </w:rPr>
              <w:t>98mm±2mm，在插立柱位置与纵梁连接，使底梁架体不扭曲、错位和变形。以供立柱插入后用螺栓紧固。滚轮 横梁采用四折成形，确保在外力作用下无任何变形情况发生。底盘下部应装有防倒支架以防架体倾倒。底盘两端封头横梁与纵梁牢固焊接，在直角处上 平面均焊上三角形加强板。</w:t>
            </w:r>
          </w:p>
        </w:tc>
      </w:tr>
      <w:tr>
        <w:tc>
          <w:tcPr>
            <w:tcW w:type="dxa" w:w="2076"/>
          </w:tcPr>
          <w:p/>
        </w:tc>
        <w:tc>
          <w:tcPr>
            <w:tcW w:type="dxa" w:w="415"/>
          </w:tcPr>
          <w:p>
            <w:r>
              <w:rPr/>
              <w:t>5</w:t>
            </w:r>
          </w:p>
        </w:tc>
        <w:tc>
          <w:tcPr>
            <w:tcW w:type="dxa" w:w="5814"/>
          </w:tcPr>
          <w:p>
            <w:pPr>
              <w:jc w:val="both"/>
            </w:pPr>
            <w:r>
              <w:rPr>
                <w:b/>
                <w:sz w:val="21"/>
              </w:rPr>
              <w:t>五、</w:t>
            </w:r>
            <w:r>
              <w:rPr>
                <w:b/>
                <w:sz w:val="21"/>
              </w:rPr>
              <w:t>导轨要求</w:t>
            </w:r>
          </w:p>
          <w:p>
            <w:pPr>
              <w:jc w:val="both"/>
            </w:pPr>
            <w:r>
              <w:rPr>
                <w:sz w:val="21"/>
              </w:rPr>
              <w:t>导轨采用</w:t>
            </w:r>
            <w:r>
              <w:rPr>
                <w:sz w:val="21"/>
              </w:rPr>
              <w:t>20*20mm实心方钢，实心方钢置于3mm厚钢板上，轨道镀锌，轨道板折弯成形，塞焊而成，分段连接，膨胀螺栓紧固于地面。</w:t>
            </w:r>
          </w:p>
        </w:tc>
      </w:tr>
      <w:tr>
        <w:tc>
          <w:tcPr>
            <w:tcW w:type="dxa" w:w="2076"/>
          </w:tcPr>
          <w:p/>
        </w:tc>
        <w:tc>
          <w:tcPr>
            <w:tcW w:type="dxa" w:w="415"/>
          </w:tcPr>
          <w:p>
            <w:r>
              <w:rPr/>
              <w:t>6</w:t>
            </w:r>
          </w:p>
        </w:tc>
        <w:tc>
          <w:tcPr>
            <w:tcW w:type="dxa" w:w="5814"/>
          </w:tcPr>
          <w:p>
            <w:pPr>
              <w:jc w:val="both"/>
            </w:pPr>
            <w:r>
              <w:rPr>
                <w:b/>
                <w:sz w:val="21"/>
              </w:rPr>
              <w:t>六、立柱要求</w:t>
            </w:r>
          </w:p>
          <w:p>
            <w:pPr>
              <w:jc w:val="both"/>
            </w:pPr>
            <w:r>
              <w:rPr>
                <w:sz w:val="21"/>
              </w:rPr>
              <w:t>采用</w:t>
            </w:r>
            <w:r>
              <w:rPr>
                <w:sz w:val="21"/>
              </w:rPr>
              <w:t>1.2mm 厚优质冷轧钢板，正面双压筋截面为 50*39mm，一次成型，立柱两面冲裁可上、下调节的挂孔，孔距为53mm。成型立柱采用上、中、下三根连接横梁焊成整体，达到结构坚固合理、美观大方不变形。立柱下端直接插入底盘固定矩形孔内，通过螺栓紧固，立柱上端与顶板通过螺栓紧固，使立柱顶部形成整体，增强架体的整体刚性。</w:t>
            </w:r>
          </w:p>
        </w:tc>
      </w:tr>
      <w:tr>
        <w:tc>
          <w:tcPr>
            <w:tcW w:type="dxa" w:w="2076"/>
          </w:tcPr>
          <w:p/>
        </w:tc>
        <w:tc>
          <w:tcPr>
            <w:tcW w:type="dxa" w:w="415"/>
          </w:tcPr>
          <w:p>
            <w:r>
              <w:rPr/>
              <w:t>7</w:t>
            </w:r>
          </w:p>
        </w:tc>
        <w:tc>
          <w:tcPr>
            <w:tcW w:type="dxa" w:w="5814"/>
          </w:tcPr>
          <w:p>
            <w:pPr>
              <w:jc w:val="both"/>
            </w:pPr>
            <w:r>
              <w:rPr>
                <w:b/>
                <w:sz w:val="21"/>
              </w:rPr>
              <w:t>七、搁板、挂板要求</w:t>
            </w:r>
          </w:p>
          <w:p>
            <w:pPr>
              <w:ind w:firstLine="360"/>
              <w:jc w:val="left"/>
            </w:pPr>
            <w:r>
              <w:rPr>
                <w:sz w:val="21"/>
              </w:rPr>
              <w:t>搁板：采用</w:t>
            </w:r>
            <w:r>
              <w:rPr>
                <w:sz w:val="21"/>
              </w:rPr>
              <w:t>1.0mm厚优质冷轧钢板一次冲压成型，厚度为≧23mm，结构合理，使用方便，正面压两根圆筋，工艺确保搁板不变形，使搁板承重力增强，每层双面承重80KG。外形美观，刚性足。满负载24小时后挠曲度≤2mm，卸载后自动恢复。表面采用酸洗磷化后进行喷涂处理。</w:t>
            </w:r>
          </w:p>
          <w:p>
            <w:pPr>
              <w:ind w:firstLine="360"/>
              <w:jc w:val="left"/>
            </w:pPr>
            <w:r>
              <w:rPr>
                <w:sz w:val="21"/>
              </w:rPr>
              <w:t>挂板：选用</w:t>
            </w:r>
            <w:r>
              <w:rPr>
                <w:sz w:val="21"/>
              </w:rPr>
              <w:t>1.0mm厚优质冷轧钢板冲压成型。挂板挂钩采用单挂钩模具冲裁打弯而成，上下两端直角折弯，下端冲有四个凸槽，使搁板嵌置于弯边凸肩上，挂板组装后平整牢固，使得挂板承重更大。</w:t>
            </w:r>
          </w:p>
          <w:p>
            <w:pPr>
              <w:jc w:val="both"/>
            </w:pPr>
            <w:r>
              <w:rPr>
                <w:sz w:val="21"/>
              </w:rPr>
              <w:t>挡棒：两头冲凹槽且带有防滑扣，模具冲压成型，</w:t>
            </w:r>
            <w:r>
              <w:rPr>
                <w:sz w:val="21"/>
              </w:rPr>
              <w:t>折弯尺寸</w:t>
            </w:r>
            <w:r>
              <w:rPr>
                <w:sz w:val="21"/>
              </w:rPr>
              <w:t>15*13mm，U 型状，增强其强度且能阻挡档案滑向另一侧，沿立柱垂直方向可以自由调整高度。</w:t>
            </w:r>
          </w:p>
        </w:tc>
      </w:tr>
      <w:tr>
        <w:tc>
          <w:tcPr>
            <w:tcW w:type="dxa" w:w="2076"/>
          </w:tcPr>
          <w:p/>
        </w:tc>
        <w:tc>
          <w:tcPr>
            <w:tcW w:type="dxa" w:w="415"/>
          </w:tcPr>
          <w:p>
            <w:r>
              <w:rPr/>
              <w:t>8</w:t>
            </w:r>
          </w:p>
        </w:tc>
        <w:tc>
          <w:tcPr>
            <w:tcW w:type="dxa" w:w="5814"/>
          </w:tcPr>
          <w:p>
            <w:pPr>
              <w:jc w:val="both"/>
            </w:pPr>
            <w:r>
              <w:rPr>
                <w:b/>
                <w:sz w:val="21"/>
              </w:rPr>
              <w:t>八、侧护板、门板、顶板要求</w:t>
            </w:r>
          </w:p>
          <w:p>
            <w:pPr>
              <w:ind w:firstLine="420"/>
              <w:jc w:val="both"/>
            </w:pPr>
            <w:r>
              <w:rPr>
                <w:sz w:val="21"/>
              </w:rPr>
              <w:t>侧板：采用优质冷轧钢板，整体分为上中下三节，上下两节中式门型，门筋直径为：</w:t>
            </w:r>
            <w:r>
              <w:rPr>
                <w:sz w:val="21"/>
              </w:rPr>
              <w:t>φ</w:t>
            </w:r>
            <w:r>
              <w:rPr>
                <w:sz w:val="21"/>
              </w:rPr>
              <w:t>30mm,中节颜色与上下两节区分</w:t>
            </w:r>
            <w:r>
              <w:rPr>
                <w:sz w:val="21"/>
              </w:rPr>
              <w:t>,</w:t>
            </w:r>
            <w:r>
              <w:rPr>
                <w:sz w:val="21"/>
              </w:rPr>
              <w:t>整体美观、大方，结构合理、设计新颖。</w:t>
            </w:r>
          </w:p>
          <w:p>
            <w:pPr>
              <w:ind w:firstLine="420"/>
              <w:jc w:val="both"/>
            </w:pPr>
            <w:r>
              <w:rPr>
                <w:sz w:val="21"/>
              </w:rPr>
              <w:t>门板</w:t>
            </w:r>
            <w:r>
              <w:rPr>
                <w:sz w:val="21"/>
              </w:rPr>
              <w:t>：</w:t>
            </w:r>
            <w:r>
              <w:rPr>
                <w:sz w:val="21"/>
              </w:rPr>
              <w:t>采用中式花纹结构，美观大方，压筋直径为：</w:t>
            </w:r>
            <w:r>
              <w:rPr>
                <w:sz w:val="21"/>
              </w:rPr>
              <w:t>φ</w:t>
            </w:r>
            <w:r>
              <w:rPr>
                <w:sz w:val="21"/>
              </w:rPr>
              <w:t>10mm。右门上装有密集架专用豪华闪电锁，背面有锁盖，看不到门栓。组装后缝隙均匀，锁定紧密，开启灵活。</w:t>
            </w:r>
          </w:p>
          <w:p>
            <w:pPr>
              <w:jc w:val="both"/>
            </w:pPr>
            <w:r>
              <w:rPr>
                <w:sz w:val="21"/>
              </w:rPr>
              <w:t>顶板</w:t>
            </w:r>
            <w:r>
              <w:rPr>
                <w:sz w:val="21"/>
              </w:rPr>
              <w:t>：</w:t>
            </w:r>
            <w:r>
              <w:rPr>
                <w:sz w:val="21"/>
              </w:rPr>
              <w:t>通过</w:t>
            </w:r>
            <w:r>
              <w:rPr>
                <w:sz w:val="21"/>
              </w:rPr>
              <w:t>M6螺栓紧固于立柱上端，经双面二次折弯，四角对焊，使其成框架结构。</w:t>
            </w:r>
          </w:p>
        </w:tc>
      </w:tr>
      <w:tr>
        <w:tc>
          <w:tcPr>
            <w:tcW w:type="dxa" w:w="2076"/>
          </w:tcPr>
          <w:p/>
        </w:tc>
        <w:tc>
          <w:tcPr>
            <w:tcW w:type="dxa" w:w="415"/>
          </w:tcPr>
          <w:p>
            <w:r>
              <w:rPr/>
              <w:t>9</w:t>
            </w:r>
          </w:p>
        </w:tc>
        <w:tc>
          <w:tcPr>
            <w:tcW w:type="dxa" w:w="5814"/>
          </w:tcPr>
          <w:p>
            <w:pPr>
              <w:jc w:val="both"/>
            </w:pPr>
            <w:r>
              <w:rPr>
                <w:b/>
                <w:sz w:val="21"/>
              </w:rPr>
              <w:t>九、技术、安装标准及制造公差要求</w:t>
            </w:r>
          </w:p>
          <w:p>
            <w:pPr>
              <w:ind w:firstLine="360"/>
              <w:jc w:val="left"/>
            </w:pPr>
            <w:r>
              <w:rPr>
                <w:sz w:val="21"/>
              </w:rPr>
              <w:t>每标准节组装后，外形尺寸的极限偏差为</w:t>
            </w:r>
            <w:r>
              <w:rPr>
                <w:sz w:val="21"/>
              </w:rPr>
              <w:t>±2mm，立柱与导轨的垂直度不大于 2mm。侧面板和中腰带的对缝处的间隙不大于2mm，门缝间隙均匀并在 1～2mm 之间。</w:t>
            </w:r>
          </w:p>
          <w:p>
            <w:pPr>
              <w:ind w:firstLine="360"/>
              <w:jc w:val="left"/>
            </w:pPr>
            <w:r>
              <w:rPr>
                <w:sz w:val="21"/>
              </w:rPr>
              <w:t>架体安装垂直度偏差小于</w:t>
            </w:r>
            <w:r>
              <w:rPr>
                <w:sz w:val="21"/>
              </w:rPr>
              <w:t>2mm，达到横平竖直。</w:t>
            </w:r>
          </w:p>
          <w:p>
            <w:pPr>
              <w:ind w:firstLine="360"/>
              <w:jc w:val="left"/>
            </w:pPr>
            <w:r>
              <w:rPr>
                <w:sz w:val="21"/>
              </w:rPr>
              <w:t>各零件、组合件表面光滑、平整，不得有尖角、突起。</w:t>
            </w:r>
          </w:p>
          <w:p>
            <w:pPr>
              <w:ind w:firstLine="360"/>
              <w:jc w:val="left"/>
            </w:pPr>
            <w:r>
              <w:rPr>
                <w:sz w:val="21"/>
              </w:rPr>
              <w:t>所有焊接件焊接牢固，焊痕打磨光滑平整。</w:t>
            </w:r>
          </w:p>
          <w:p>
            <w:pPr>
              <w:ind w:firstLine="360"/>
              <w:jc w:val="left"/>
            </w:pPr>
            <w:r>
              <w:rPr>
                <w:sz w:val="21"/>
              </w:rPr>
              <w:t>喷塑表面色泽一致，塑面均匀光滑，无划伤。</w:t>
            </w:r>
          </w:p>
          <w:p>
            <w:pPr>
              <w:ind w:firstLine="360"/>
              <w:jc w:val="left"/>
            </w:pPr>
            <w:r>
              <w:rPr>
                <w:sz w:val="21"/>
              </w:rPr>
              <w:t>产品各零件、组合件之间应能具有互换性。</w:t>
            </w:r>
          </w:p>
          <w:p>
            <w:pPr>
              <w:ind w:firstLine="360"/>
              <w:jc w:val="left"/>
            </w:pPr>
            <w:r>
              <w:rPr>
                <w:sz w:val="21"/>
              </w:rPr>
              <w:t>搁板上均匀载重</w:t>
            </w:r>
            <w:r>
              <w:rPr>
                <w:sz w:val="21"/>
              </w:rPr>
              <w:t>400N，放置24h最大挠度小于4mm，卸载后2h搁板不得有裂缝，残余变形量不大于0.3mm。</w:t>
            </w:r>
          </w:p>
          <w:p>
            <w:pPr>
              <w:jc w:val="both"/>
            </w:pPr>
            <w:r>
              <w:rPr>
                <w:sz w:val="21"/>
              </w:rPr>
              <w:t xml:space="preserve">    每标准节在全负载的情况下，各结构件和架体没有明显变形，架体不应产生倾斜现象。</w:t>
            </w:r>
          </w:p>
        </w:tc>
      </w:tr>
      <w:tr>
        <w:tc>
          <w:tcPr>
            <w:tcW w:type="dxa" w:w="2076"/>
          </w:tcPr>
          <w:p/>
        </w:tc>
        <w:tc>
          <w:tcPr>
            <w:tcW w:type="dxa" w:w="415"/>
          </w:tcPr>
          <w:p>
            <w:r>
              <w:rPr/>
              <w:t>10</w:t>
            </w:r>
          </w:p>
        </w:tc>
        <w:tc>
          <w:tcPr>
            <w:tcW w:type="dxa" w:w="5814"/>
          </w:tcPr>
          <w:p>
            <w:pPr>
              <w:jc w:val="both"/>
            </w:pPr>
            <w:r>
              <w:rPr>
                <w:b/>
                <w:sz w:val="21"/>
              </w:rPr>
              <w:t>十、工艺要求</w:t>
            </w:r>
          </w:p>
          <w:p>
            <w:pPr>
              <w:ind w:firstLine="360"/>
              <w:jc w:val="left"/>
            </w:pPr>
            <w:r>
              <w:rPr>
                <w:sz w:val="21"/>
              </w:rPr>
              <w:t>产品供应商应该制定严格的产品企业标准，并有完善的质量检验制度和控制手段。要有高精度的剪板机、折弯机、各种机械加工设备及全自动高压静电喷塑设备，工艺装备齐全：</w:t>
            </w:r>
          </w:p>
          <w:p>
            <w:pPr>
              <w:ind w:firstLine="360"/>
              <w:jc w:val="left"/>
            </w:pPr>
            <w:r>
              <w:rPr>
                <w:sz w:val="21"/>
              </w:rPr>
              <w:t>所有钣金件、机加工件加工后均打磨毛刺</w:t>
            </w:r>
            <w:r>
              <w:rPr>
                <w:sz w:val="21"/>
              </w:rPr>
              <w:t>,无裂痕及伤痕。</w:t>
            </w:r>
          </w:p>
          <w:p>
            <w:pPr>
              <w:ind w:firstLine="360"/>
              <w:jc w:val="left"/>
            </w:pPr>
            <w:r>
              <w:rPr>
                <w:sz w:val="21"/>
              </w:rPr>
              <w:t>所有焊接件均焊接牢固，外表光滑平整。</w:t>
            </w:r>
          </w:p>
          <w:p>
            <w:pPr>
              <w:ind w:firstLine="360"/>
              <w:jc w:val="left"/>
            </w:pPr>
            <w:r>
              <w:rPr>
                <w:sz w:val="21"/>
              </w:rPr>
              <w:t>每标准节组装后，质量符合技术标准要求。</w:t>
            </w:r>
          </w:p>
          <w:p>
            <w:pPr>
              <w:ind w:firstLine="360"/>
              <w:jc w:val="left"/>
            </w:pPr>
            <w:r>
              <w:rPr>
                <w:sz w:val="21"/>
              </w:rPr>
              <w:t>产品的全部钣金件应经过严格的酸洗、除锈、磷化处理。颜色按用户要求，表面喷涂粉末材料采用具有环保性质的高强度树脂粉末。其相关技术性能完全符合</w:t>
            </w:r>
            <w:r>
              <w:rPr>
                <w:sz w:val="21"/>
              </w:rPr>
              <w:t>GB-T13667.16.3 档案管理要求，色泽应一致，喷涂无死角。漆膜附着力达到 GB1720 中的二级指标，漆面应均匀光滑、无划痕。塑膜厚度为 60—70μm，塑层防锈能力20年以上。</w:t>
            </w:r>
          </w:p>
          <w:p>
            <w:pPr>
              <w:ind w:firstLine="360"/>
              <w:jc w:val="left"/>
            </w:pPr>
            <w:r>
              <w:rPr>
                <w:sz w:val="21"/>
              </w:rPr>
              <w:t>所有标准件及紧固件均经热浸处理。</w:t>
            </w:r>
          </w:p>
          <w:p>
            <w:pPr>
              <w:jc w:val="both"/>
            </w:pPr>
            <w:r>
              <w:rPr>
                <w:sz w:val="21"/>
              </w:rPr>
              <w:t>档案固定架架体外观应精美、线条流畅、操作应轻便灵活、运行平稳，并应是组合装配，便于搬迁和拆卸。各零件、组合件表面应光滑平整，不得有尖角、凸起。</w:t>
            </w:r>
          </w:p>
        </w:tc>
      </w:tr>
      <w:tr>
        <w:tc>
          <w:tcPr>
            <w:tcW w:type="dxa" w:w="2076"/>
          </w:tcPr>
          <w:p/>
        </w:tc>
        <w:tc>
          <w:tcPr>
            <w:tcW w:type="dxa" w:w="415"/>
          </w:tcPr>
          <w:p>
            <w:r>
              <w:rPr/>
              <w:t>11</w:t>
            </w:r>
          </w:p>
        </w:tc>
        <w:tc>
          <w:tcPr>
            <w:tcW w:type="dxa" w:w="5814"/>
          </w:tcPr>
          <w:p>
            <w:pPr>
              <w:jc w:val="both"/>
            </w:pPr>
            <w:r>
              <w:rPr>
                <w:b/>
                <w:sz w:val="21"/>
              </w:rPr>
              <w:t>十一、载重性能要求</w:t>
            </w:r>
          </w:p>
          <w:p>
            <w:pPr>
              <w:ind w:firstLine="360"/>
              <w:jc w:val="left"/>
            </w:pPr>
            <w:r>
              <w:rPr>
                <w:sz w:val="21"/>
              </w:rPr>
              <w:t>单面搁板上均布载重</w:t>
            </w:r>
            <w:r>
              <w:rPr>
                <w:sz w:val="21"/>
              </w:rPr>
              <w:t>45kg，最大挠度为3mm，24小时卸载后，无裂纹及永久变形。</w:t>
            </w:r>
          </w:p>
          <w:p>
            <w:pPr>
              <w:ind w:firstLine="360"/>
              <w:jc w:val="left"/>
            </w:pPr>
            <w:r>
              <w:rPr>
                <w:sz w:val="21"/>
              </w:rPr>
              <w:t>每标准节（六层双面搁板）在全负载（每块单面搁板均布载重</w:t>
            </w:r>
            <w:r>
              <w:rPr>
                <w:sz w:val="21"/>
              </w:rPr>
              <w:t>45kg）的情况下，架体、立柱无明显变形，架体无倾斜现象。</w:t>
            </w:r>
          </w:p>
          <w:p>
            <w:pPr>
              <w:jc w:val="both"/>
            </w:pPr>
            <w:r>
              <w:rPr>
                <w:sz w:val="21"/>
              </w:rPr>
              <w:t>在受全部载荷</w:t>
            </w:r>
            <w:r>
              <w:rPr>
                <w:sz w:val="21"/>
              </w:rPr>
              <w:t>1/20外力（沿 X、Y 轴两个方向的水平外力）的作用反复100 次后，取消外力，架体所产生的倾斜不大于总高的1%，支架、立柱无明显的变形。</w:t>
            </w:r>
          </w:p>
        </w:tc>
      </w:tr>
      <w:tr>
        <w:tc>
          <w:tcPr>
            <w:tcW w:type="dxa" w:w="2076"/>
          </w:tcPr>
          <w:p/>
        </w:tc>
        <w:tc>
          <w:tcPr>
            <w:tcW w:type="dxa" w:w="415"/>
          </w:tcPr>
          <w:p>
            <w:r>
              <w:rPr/>
              <w:t>12</w:t>
            </w:r>
          </w:p>
        </w:tc>
        <w:tc>
          <w:tcPr>
            <w:tcW w:type="dxa" w:w="5814"/>
          </w:tcPr>
          <w:p>
            <w:pPr>
              <w:jc w:val="both"/>
            </w:pPr>
            <w:r>
              <w:rPr>
                <w:b/>
                <w:sz w:val="21"/>
              </w:rPr>
              <w:t>十二、外观质量要求</w:t>
            </w:r>
          </w:p>
          <w:p>
            <w:pPr>
              <w:ind w:firstLine="360"/>
              <w:jc w:val="left"/>
            </w:pPr>
            <w:r>
              <w:rPr>
                <w:sz w:val="21"/>
              </w:rPr>
              <w:t>密集架架体外观应精美、线条流畅、操作应轻便灵活、运行平稳，并应是组合装配，便于搬迁和拆卸。各零件、组合件表面应光滑平整，不得有尖角、凸起。</w:t>
            </w:r>
          </w:p>
          <w:p>
            <w:pPr>
              <w:jc w:val="both"/>
            </w:pPr>
            <w:r>
              <w:rPr>
                <w:sz w:val="21"/>
              </w:rPr>
              <w:t>颜色按用户要求，表面经静电喷粉，高温塑化处理，色泽应一致，喷涂无死角，漆面应均匀光滑、无划痕。</w:t>
            </w:r>
          </w:p>
        </w:tc>
      </w:tr>
      <w:tr>
        <w:tc>
          <w:tcPr>
            <w:tcW w:type="dxa" w:w="2076"/>
          </w:tcPr>
          <w:p/>
        </w:tc>
        <w:tc>
          <w:tcPr>
            <w:tcW w:type="dxa" w:w="415"/>
          </w:tcPr>
          <w:p>
            <w:r>
              <w:rPr/>
              <w:t>13</w:t>
            </w:r>
          </w:p>
        </w:tc>
        <w:tc>
          <w:tcPr>
            <w:tcW w:type="dxa" w:w="5814"/>
          </w:tcPr>
          <w:p>
            <w:pPr>
              <w:ind w:firstLine="420"/>
              <w:jc w:val="both"/>
            </w:pPr>
            <w:r>
              <w:rPr>
                <w:b/>
                <w:sz w:val="21"/>
              </w:rPr>
              <w:t>十三、</w:t>
            </w:r>
            <w:r>
              <w:rPr>
                <w:b/>
                <w:sz w:val="21"/>
              </w:rPr>
              <w:t>设备清单</w:t>
            </w:r>
          </w:p>
          <w:tbl>
            <w:tblPr>
              <w:tblInd w:type="dxa" w:w="120"/>
              <w:tblBorders>
                <w:top w:val="none" w:color="000000" w:sz="4"/>
                <w:left w:val="none" w:color="000000" w:sz="4"/>
                <w:bottom w:val="none" w:color="000000" w:sz="4"/>
                <w:right w:val="none" w:color="000000" w:sz="4"/>
                <w:insideH w:val="none"/>
                <w:insideV w:val="none"/>
              </w:tblBorders>
            </w:tblPr>
            <w:tblGrid>
              <w:gridCol w:w="499"/>
              <w:gridCol w:w="1041"/>
              <w:gridCol w:w="1041"/>
              <w:gridCol w:w="857"/>
              <w:gridCol w:w="800"/>
              <w:gridCol w:w="1354"/>
            </w:tblGrid>
            <w:tr>
              <w:tc>
                <w:tcPr>
                  <w:tcW w:type="dxa" w:w="499"/>
                  <w:tcBorders>
                    <w:top w:val="single" w:color="000000" w:sz="4"/>
                    <w:left w:val="single" w:color="000000" w:sz="4"/>
                    <w:bottom w:val="single" w:color="000000" w:sz="4"/>
                    <w:right w:val="single" w:color="000000" w:sz="4"/>
                  </w:tcBorders>
                  <w:vAlign w:val="top"/>
                </w:tcPr>
                <w:p>
                  <w:pPr>
                    <w:jc w:val="center"/>
                  </w:pPr>
                  <w:r>
                    <w:rPr>
                      <w:b/>
                      <w:sz w:val="21"/>
                    </w:rPr>
                    <w:t>序号</w:t>
                  </w:r>
                </w:p>
              </w:tc>
              <w:tc>
                <w:tcPr>
                  <w:tcW w:type="dxa" w:w="1041"/>
                  <w:tcBorders>
                    <w:top w:val="single" w:color="000000" w:sz="4"/>
                    <w:left w:val="single" w:color="000000" w:sz="4"/>
                    <w:bottom w:val="single" w:color="000000" w:sz="4"/>
                    <w:right w:val="single" w:color="000000" w:sz="4"/>
                  </w:tcBorders>
                  <w:vAlign w:val="top"/>
                </w:tcPr>
                <w:p>
                  <w:pPr>
                    <w:jc w:val="center"/>
                  </w:pPr>
                  <w:r>
                    <w:rPr>
                      <w:b/>
                      <w:sz w:val="21"/>
                    </w:rPr>
                    <w:t>建设内容</w:t>
                  </w:r>
                </w:p>
              </w:tc>
              <w:tc>
                <w:tcPr>
                  <w:tcW w:type="dxa" w:w="1041"/>
                  <w:tcBorders>
                    <w:top w:val="single" w:color="000000" w:sz="4"/>
                    <w:left w:val="single" w:color="000000" w:sz="4"/>
                    <w:bottom w:val="single" w:color="000000" w:sz="4"/>
                    <w:right w:val="single" w:color="000000" w:sz="4"/>
                  </w:tcBorders>
                  <w:vAlign w:val="top"/>
                </w:tcPr>
                <w:p>
                  <w:pPr>
                    <w:jc w:val="center"/>
                  </w:pPr>
                  <w:r>
                    <w:rPr>
                      <w:b/>
                      <w:sz w:val="21"/>
                    </w:rPr>
                    <w:t>分项内容</w:t>
                  </w:r>
                </w:p>
              </w:tc>
              <w:tc>
                <w:tcPr>
                  <w:tcW w:type="dxa" w:w="857"/>
                  <w:tcBorders>
                    <w:top w:val="single" w:color="000000" w:sz="4"/>
                    <w:left w:val="single" w:color="000000" w:sz="4"/>
                    <w:bottom w:val="single" w:color="000000" w:sz="4"/>
                    <w:right w:val="single" w:color="000000" w:sz="4"/>
                  </w:tcBorders>
                  <w:vAlign w:val="top"/>
                </w:tcPr>
                <w:p>
                  <w:pPr>
                    <w:jc w:val="center"/>
                  </w:pPr>
                  <w:r>
                    <w:rPr>
                      <w:b/>
                      <w:sz w:val="21"/>
                    </w:rPr>
                    <w:t>数量</w:t>
                  </w:r>
                </w:p>
              </w:tc>
              <w:tc>
                <w:tcPr>
                  <w:tcW w:type="dxa" w:w="800"/>
                  <w:tcBorders>
                    <w:top w:val="single" w:color="000000" w:sz="4"/>
                    <w:left w:val="single" w:color="000000" w:sz="4"/>
                    <w:bottom w:val="single" w:color="000000" w:sz="4"/>
                    <w:right w:val="single" w:color="000000" w:sz="4"/>
                  </w:tcBorders>
                  <w:vAlign w:val="top"/>
                </w:tcPr>
                <w:p>
                  <w:pPr>
                    <w:jc w:val="center"/>
                  </w:pPr>
                  <w:r>
                    <w:rPr>
                      <w:b/>
                      <w:sz w:val="21"/>
                    </w:rPr>
                    <w:t>单位</w:t>
                  </w:r>
                </w:p>
              </w:tc>
              <w:tc>
                <w:tcPr>
                  <w:tcW w:type="dxa" w:w="1354"/>
                  <w:tcBorders>
                    <w:top w:val="single" w:color="000000" w:sz="4"/>
                    <w:left w:val="single" w:color="000000" w:sz="4"/>
                    <w:bottom w:val="single" w:color="000000" w:sz="4"/>
                    <w:right w:val="single" w:color="000000" w:sz="4"/>
                  </w:tcBorders>
                  <w:vAlign w:val="top"/>
                </w:tcPr>
                <w:p>
                  <w:pPr>
                    <w:jc w:val="center"/>
                  </w:pPr>
                  <w:r>
                    <w:rPr>
                      <w:b/>
                      <w:sz w:val="21"/>
                    </w:rPr>
                    <w:t>备注</w:t>
                  </w:r>
                </w:p>
              </w:tc>
            </w:tr>
            <w:tr>
              <w:tc>
                <w:tcPr>
                  <w:tcW w:type="dxa" w:w="499"/>
                  <w:vMerge w:val="restart"/>
                  <w:tcBorders>
                    <w:top w:val="none" w:color="000000" w:sz="4"/>
                    <w:left w:val="single" w:color="000000" w:sz="4"/>
                    <w:bottom w:val="single" w:color="000000" w:sz="4"/>
                    <w:right w:val="single" w:color="000000" w:sz="4"/>
                  </w:tcBorders>
                  <w:vAlign w:val="top"/>
                </w:tcPr>
                <w:p>
                  <w:pPr>
                    <w:jc w:val="center"/>
                  </w:pPr>
                  <w:r>
                    <w:rPr>
                      <w:sz w:val="21"/>
                    </w:rPr>
                    <w:t>1</w:t>
                  </w:r>
                </w:p>
              </w:tc>
              <w:tc>
                <w:tcPr>
                  <w:tcW w:type="dxa" w:w="1041"/>
                  <w:vMerge w:val="restart"/>
                  <w:tcBorders>
                    <w:top w:val="none" w:color="000000" w:sz="4"/>
                    <w:left w:val="single" w:color="000000" w:sz="4"/>
                    <w:bottom w:val="single" w:color="000000" w:sz="4"/>
                    <w:right w:val="single" w:color="000000" w:sz="4"/>
                  </w:tcBorders>
                  <w:vAlign w:val="top"/>
                </w:tcPr>
                <w:p>
                  <w:pPr>
                    <w:jc w:val="center"/>
                  </w:pPr>
                  <w:r>
                    <w:rPr>
                      <w:sz w:val="21"/>
                    </w:rPr>
                    <w:t>连体式固定档案柜建设</w:t>
                  </w:r>
                </w:p>
              </w:tc>
              <w:tc>
                <w:tcPr>
                  <w:tcW w:type="dxa" w:w="1041"/>
                  <w:tcBorders>
                    <w:top w:val="none" w:color="000000" w:sz="4"/>
                    <w:left w:val="single" w:color="000000" w:sz="4"/>
                    <w:bottom w:val="single" w:color="000000" w:sz="4"/>
                    <w:right w:val="single" w:color="000000" w:sz="4"/>
                  </w:tcBorders>
                  <w:vAlign w:val="top"/>
                </w:tcPr>
                <w:p>
                  <w:pPr>
                    <w:jc w:val="center"/>
                  </w:pPr>
                  <w:r>
                    <w:rPr>
                      <w:sz w:val="21"/>
                    </w:rPr>
                    <w:t>连体式固定档案柜</w:t>
                  </w:r>
                </w:p>
              </w:tc>
              <w:tc>
                <w:tcPr>
                  <w:tcW w:type="dxa" w:w="857"/>
                  <w:tcBorders>
                    <w:top w:val="none" w:color="000000" w:sz="4"/>
                    <w:left w:val="single" w:color="000000" w:sz="4"/>
                    <w:bottom w:val="single" w:color="000000" w:sz="4"/>
                    <w:right w:val="single" w:color="000000" w:sz="4"/>
                  </w:tcBorders>
                  <w:vAlign w:val="top"/>
                </w:tcPr>
                <w:p>
                  <w:pPr>
                    <w:jc w:val="center"/>
                  </w:pPr>
                  <w:r>
                    <w:rPr>
                      <w:sz w:val="21"/>
                    </w:rPr>
                    <w:t>18</w:t>
                  </w:r>
                  <w:r>
                    <w:rPr>
                      <w:sz w:val="21"/>
                    </w:rPr>
                    <w:t>0</w:t>
                  </w:r>
                </w:p>
              </w:tc>
              <w:tc>
                <w:tcPr>
                  <w:tcW w:type="dxa" w:w="800"/>
                  <w:tcBorders>
                    <w:top w:val="none" w:color="000000" w:sz="4"/>
                    <w:left w:val="single" w:color="000000" w:sz="4"/>
                    <w:bottom w:val="single" w:color="000000" w:sz="4"/>
                    <w:right w:val="single" w:color="000000" w:sz="4"/>
                  </w:tcBorders>
                  <w:vAlign w:val="top"/>
                </w:tcPr>
                <w:p>
                  <w:pPr>
                    <w:jc w:val="center"/>
                  </w:pPr>
                  <w:r>
                    <w:rPr>
                      <w:sz w:val="21"/>
                    </w:rPr>
                    <w:t>立方米</w:t>
                  </w:r>
                </w:p>
              </w:tc>
              <w:tc>
                <w:tcPr>
                  <w:tcW w:type="dxa" w:w="1354"/>
                  <w:tcBorders>
                    <w:top w:val="none" w:color="000000" w:sz="4"/>
                    <w:left w:val="single" w:color="000000" w:sz="4"/>
                    <w:bottom w:val="single" w:color="000000" w:sz="4"/>
                    <w:right w:val="single" w:color="000000" w:sz="4"/>
                  </w:tcBorders>
                  <w:vAlign w:val="top"/>
                </w:tcPr>
                <w:p>
                  <w:pPr>
                    <w:jc w:val="center"/>
                  </w:pPr>
                  <w:r>
                    <w:rPr>
                      <w:sz w:val="21"/>
                    </w:rPr>
                    <w:t>冷轧钢板</w:t>
                  </w:r>
                </w:p>
              </w:tc>
            </w:tr>
            <w:tr>
              <w:tc>
                <w:tcPr>
                  <w:tcW w:type="dxa" w:w="499"/>
                  <w:vMerge/>
                  <w:tcBorders>
                    <w:top w:val="none" w:color="000000" w:sz="4"/>
                    <w:left w:val="single" w:color="000000" w:sz="4"/>
                    <w:bottom w:val="single" w:color="000000" w:sz="4"/>
                    <w:right w:val="single" w:color="000000" w:sz="4"/>
                  </w:tcBorders>
                </w:tcPr>
                <w:p/>
              </w:tc>
              <w:tc>
                <w:tcPr>
                  <w:tcW w:type="dxa" w:w="1041"/>
                  <w:vMerge/>
                  <w:tcBorders>
                    <w:top w:val="none" w:color="000000" w:sz="4"/>
                    <w:left w:val="single" w:color="000000" w:sz="4"/>
                    <w:bottom w:val="single" w:color="000000" w:sz="4"/>
                    <w:right w:val="single" w:color="000000" w:sz="4"/>
                  </w:tcBorders>
                </w:tcPr>
                <w:p/>
              </w:tc>
              <w:tc>
                <w:tcPr>
                  <w:tcW w:type="dxa" w:w="1041"/>
                  <w:tcBorders>
                    <w:top w:val="none" w:color="000000" w:sz="4"/>
                    <w:left w:val="single" w:color="000000" w:sz="4"/>
                    <w:bottom w:val="single" w:color="000000" w:sz="4"/>
                    <w:right w:val="single" w:color="000000" w:sz="4"/>
                  </w:tcBorders>
                  <w:vAlign w:val="top"/>
                </w:tcPr>
                <w:p>
                  <w:pPr>
                    <w:jc w:val="center"/>
                  </w:pPr>
                  <w:r>
                    <w:rPr>
                      <w:sz w:val="21"/>
                    </w:rPr>
                    <w:t>双开门锁</w:t>
                  </w:r>
                </w:p>
              </w:tc>
              <w:tc>
                <w:tcPr>
                  <w:tcW w:type="dxa" w:w="857"/>
                  <w:tcBorders>
                    <w:top w:val="none" w:color="000000" w:sz="4"/>
                    <w:left w:val="single" w:color="000000" w:sz="4"/>
                    <w:bottom w:val="single" w:color="000000" w:sz="4"/>
                    <w:right w:val="single" w:color="000000" w:sz="4"/>
                  </w:tcBorders>
                  <w:vAlign w:val="top"/>
                </w:tcPr>
                <w:p>
                  <w:pPr>
                    <w:jc w:val="center"/>
                  </w:pPr>
                  <w:r>
                    <w:rPr>
                      <w:sz w:val="21"/>
                    </w:rPr>
                    <w:t>264</w:t>
                  </w:r>
                </w:p>
              </w:tc>
              <w:tc>
                <w:tcPr>
                  <w:tcW w:type="dxa" w:w="800"/>
                  <w:tcBorders>
                    <w:top w:val="none" w:color="000000" w:sz="4"/>
                    <w:left w:val="single" w:color="000000" w:sz="4"/>
                    <w:bottom w:val="single" w:color="000000" w:sz="4"/>
                    <w:right w:val="single" w:color="000000" w:sz="4"/>
                  </w:tcBorders>
                  <w:vAlign w:val="top"/>
                </w:tcPr>
                <w:p>
                  <w:pPr>
                    <w:jc w:val="center"/>
                  </w:pPr>
                  <w:r>
                    <w:rPr>
                      <w:sz w:val="21"/>
                    </w:rPr>
                    <w:t>对</w:t>
                  </w:r>
                </w:p>
              </w:tc>
              <w:tc>
                <w:tcPr>
                  <w:tcW w:type="dxa" w:w="1354"/>
                  <w:tcBorders>
                    <w:top w:val="none" w:color="000000" w:sz="4"/>
                    <w:left w:val="single" w:color="000000" w:sz="4"/>
                    <w:bottom w:val="single" w:color="000000" w:sz="4"/>
                    <w:right w:val="single" w:color="000000" w:sz="4"/>
                  </w:tcBorders>
                  <w:vAlign w:val="top"/>
                </w:tcPr>
                <w:p>
                  <w:pPr>
                    <w:jc w:val="center"/>
                  </w:pPr>
                  <w:r>
                    <w:rPr>
                      <w:sz w:val="21"/>
                    </w:rPr>
                    <w:t>根据固定柜面积尺寸对开门定制</w:t>
                  </w:r>
                </w:p>
              </w:tc>
            </w:tr>
            <w:tr>
              <w:tc>
                <w:tcPr>
                  <w:tcW w:type="dxa" w:w="499"/>
                  <w:vMerge w:val="restart"/>
                  <w:tcBorders>
                    <w:top w:val="none" w:color="000000" w:sz="4"/>
                    <w:left w:val="single" w:color="000000" w:sz="4"/>
                    <w:bottom w:val="single" w:color="000000" w:sz="4"/>
                    <w:right w:val="single" w:color="000000" w:sz="4"/>
                  </w:tcBorders>
                  <w:vAlign w:val="top"/>
                </w:tcPr>
                <w:p>
                  <w:pPr>
                    <w:jc w:val="center"/>
                  </w:pPr>
                  <w:r>
                    <w:rPr>
                      <w:sz w:val="21"/>
                    </w:rPr>
                    <w:t>2</w:t>
                  </w:r>
                </w:p>
              </w:tc>
              <w:tc>
                <w:tcPr>
                  <w:tcW w:type="dxa" w:w="1041"/>
                  <w:vMerge w:val="restart"/>
                  <w:tcBorders>
                    <w:top w:val="none" w:color="000000" w:sz="4"/>
                    <w:left w:val="single" w:color="000000" w:sz="4"/>
                    <w:bottom w:val="single" w:color="000000" w:sz="4"/>
                    <w:right w:val="single" w:color="000000" w:sz="4"/>
                  </w:tcBorders>
                  <w:vAlign w:val="top"/>
                </w:tcPr>
                <w:p>
                  <w:pPr>
                    <w:jc w:val="center"/>
                  </w:pPr>
                  <w:r>
                    <w:rPr>
                      <w:sz w:val="21"/>
                    </w:rPr>
                    <w:t>密集架建设</w:t>
                  </w:r>
                </w:p>
              </w:tc>
              <w:tc>
                <w:tcPr>
                  <w:tcW w:type="dxa" w:w="1041"/>
                  <w:tcBorders>
                    <w:top w:val="none" w:color="000000" w:sz="4"/>
                    <w:left w:val="single" w:color="000000" w:sz="4"/>
                    <w:bottom w:val="single" w:color="000000" w:sz="4"/>
                    <w:right w:val="single" w:color="000000" w:sz="4"/>
                  </w:tcBorders>
                  <w:vAlign w:val="top"/>
                </w:tcPr>
                <w:p>
                  <w:pPr>
                    <w:jc w:val="center"/>
                  </w:pPr>
                  <w:r>
                    <w:rPr>
                      <w:sz w:val="21"/>
                    </w:rPr>
                    <w:t>密集架</w:t>
                  </w:r>
                </w:p>
              </w:tc>
              <w:tc>
                <w:tcPr>
                  <w:tcW w:type="dxa" w:w="857"/>
                  <w:tcBorders>
                    <w:top w:val="none" w:color="000000" w:sz="4"/>
                    <w:left w:val="single" w:color="000000" w:sz="4"/>
                    <w:bottom w:val="single" w:color="000000" w:sz="4"/>
                    <w:right w:val="single" w:color="000000" w:sz="4"/>
                  </w:tcBorders>
                  <w:vAlign w:val="top"/>
                </w:tcPr>
                <w:p>
                  <w:pPr>
                    <w:jc w:val="center"/>
                  </w:pPr>
                  <w:r>
                    <w:rPr>
                      <w:sz w:val="21"/>
                    </w:rPr>
                    <w:t>370</w:t>
                  </w:r>
                </w:p>
              </w:tc>
              <w:tc>
                <w:tcPr>
                  <w:tcW w:type="dxa" w:w="800"/>
                  <w:tcBorders>
                    <w:top w:val="none" w:color="000000" w:sz="4"/>
                    <w:left w:val="single" w:color="000000" w:sz="4"/>
                    <w:bottom w:val="single" w:color="000000" w:sz="4"/>
                    <w:right w:val="single" w:color="000000" w:sz="4"/>
                  </w:tcBorders>
                  <w:vAlign w:val="top"/>
                </w:tcPr>
                <w:p>
                  <w:pPr>
                    <w:jc w:val="center"/>
                  </w:pPr>
                  <w:r>
                    <w:rPr>
                      <w:sz w:val="21"/>
                    </w:rPr>
                    <w:t>立方米</w:t>
                  </w:r>
                </w:p>
              </w:tc>
              <w:tc>
                <w:tcPr>
                  <w:tcW w:type="dxa" w:w="1354"/>
                  <w:tcBorders>
                    <w:top w:val="none" w:color="000000" w:sz="4"/>
                    <w:left w:val="single" w:color="000000" w:sz="4"/>
                    <w:bottom w:val="single" w:color="000000" w:sz="4"/>
                    <w:right w:val="single" w:color="000000" w:sz="4"/>
                  </w:tcBorders>
                  <w:vAlign w:val="top"/>
                </w:tcPr>
                <w:p>
                  <w:pPr>
                    <w:jc w:val="center"/>
                  </w:pPr>
                  <w:r>
                    <w:rPr>
                      <w:sz w:val="21"/>
                    </w:rPr>
                    <w:t>优质冷轧钢板</w:t>
                  </w:r>
                </w:p>
              </w:tc>
            </w:tr>
            <w:tr>
              <w:tc>
                <w:tcPr>
                  <w:tcW w:type="dxa" w:w="499"/>
                  <w:vMerge/>
                  <w:tcBorders>
                    <w:top w:val="none" w:color="000000" w:sz="4"/>
                    <w:left w:val="single" w:color="000000" w:sz="4"/>
                    <w:bottom w:val="single" w:color="000000" w:sz="4"/>
                    <w:right w:val="single" w:color="000000" w:sz="4"/>
                  </w:tcBorders>
                </w:tcPr>
                <w:p/>
              </w:tc>
              <w:tc>
                <w:tcPr>
                  <w:tcW w:type="dxa" w:w="1041"/>
                  <w:vMerge/>
                  <w:tcBorders>
                    <w:top w:val="none" w:color="000000" w:sz="4"/>
                    <w:left w:val="single" w:color="000000" w:sz="4"/>
                    <w:bottom w:val="single" w:color="000000" w:sz="4"/>
                    <w:right w:val="single" w:color="000000" w:sz="4"/>
                  </w:tcBorders>
                </w:tcPr>
                <w:p/>
              </w:tc>
              <w:tc>
                <w:tcPr>
                  <w:tcW w:type="dxa" w:w="1041"/>
                  <w:tcBorders>
                    <w:top w:val="none" w:color="000000" w:sz="4"/>
                    <w:left w:val="single" w:color="000000" w:sz="4"/>
                    <w:bottom w:val="single" w:color="000000" w:sz="4"/>
                    <w:right w:val="single" w:color="000000" w:sz="4"/>
                  </w:tcBorders>
                  <w:vAlign w:val="top"/>
                </w:tcPr>
                <w:p>
                  <w:pPr>
                    <w:jc w:val="center"/>
                  </w:pPr>
                  <w:r>
                    <w:rPr>
                      <w:sz w:val="21"/>
                    </w:rPr>
                    <w:t>密集架轨道</w:t>
                  </w:r>
                </w:p>
              </w:tc>
              <w:tc>
                <w:tcPr>
                  <w:tcW w:type="dxa" w:w="857"/>
                  <w:tcBorders>
                    <w:top w:val="none" w:color="000000" w:sz="4"/>
                    <w:left w:val="single" w:color="000000" w:sz="4"/>
                    <w:bottom w:val="single" w:color="000000" w:sz="4"/>
                    <w:right w:val="single" w:color="000000" w:sz="4"/>
                  </w:tcBorders>
                  <w:vAlign w:val="top"/>
                </w:tcPr>
                <w:p>
                  <w:pPr>
                    <w:jc w:val="center"/>
                  </w:pPr>
                  <w:r>
                    <w:rPr>
                      <w:sz w:val="21"/>
                    </w:rPr>
                    <w:t>150</w:t>
                  </w:r>
                </w:p>
              </w:tc>
              <w:tc>
                <w:tcPr>
                  <w:tcW w:type="dxa" w:w="800"/>
                  <w:tcBorders>
                    <w:top w:val="none" w:color="000000" w:sz="4"/>
                    <w:left w:val="single" w:color="000000" w:sz="4"/>
                    <w:bottom w:val="single" w:color="000000" w:sz="4"/>
                    <w:right w:val="single" w:color="000000" w:sz="4"/>
                  </w:tcBorders>
                  <w:vAlign w:val="top"/>
                </w:tcPr>
                <w:p>
                  <w:pPr>
                    <w:jc w:val="center"/>
                  </w:pPr>
                  <w:r>
                    <w:rPr>
                      <w:sz w:val="21"/>
                    </w:rPr>
                    <w:t>米</w:t>
                  </w:r>
                </w:p>
              </w:tc>
              <w:tc>
                <w:tcPr>
                  <w:tcW w:type="dxa" w:w="1354"/>
                  <w:tcBorders>
                    <w:top w:val="none" w:color="000000" w:sz="4"/>
                    <w:left w:val="single" w:color="000000" w:sz="4"/>
                    <w:bottom w:val="single" w:color="000000" w:sz="4"/>
                    <w:right w:val="single" w:color="000000" w:sz="4"/>
                  </w:tcBorders>
                  <w:vAlign w:val="top"/>
                </w:tcPr>
                <w:p>
                  <w:pPr>
                    <w:jc w:val="center"/>
                  </w:pPr>
                  <w:r>
                    <w:rPr>
                      <w:sz w:val="21"/>
                    </w:rPr>
                    <w:t>国标镀锌轨道</w:t>
                  </w:r>
                </w:p>
              </w:tc>
            </w:tr>
          </w:tbl>
        </w:tc>
      </w:tr>
      <w:tr>
        <w:tc>
          <w:tcPr>
            <w:tcW w:type="dxa" w:w="2076"/>
          </w:tcPr>
          <w:p/>
        </w:tc>
        <w:tc>
          <w:tcPr>
            <w:tcW w:type="dxa" w:w="415"/>
          </w:tcPr>
          <w:p>
            <w:r>
              <w:rPr/>
              <w:t>14</w:t>
            </w:r>
          </w:p>
        </w:tc>
        <w:tc>
          <w:tcPr>
            <w:tcW w:type="dxa" w:w="5814"/>
          </w:tcPr>
          <w:p>
            <w:pPr>
              <w:jc w:val="left"/>
            </w:pPr>
            <w:r>
              <w:rPr>
                <w:b/>
                <w:sz w:val="21"/>
              </w:rPr>
              <w:t>十四、技术参数要求</w:t>
            </w:r>
          </w:p>
          <w:tbl>
            <w:tblPr>
              <w:tblBorders>
                <w:top w:val="none" w:color="000000" w:sz="4"/>
                <w:left w:val="none" w:color="000000" w:sz="4"/>
                <w:bottom w:val="none" w:color="000000" w:sz="4"/>
                <w:right w:val="none" w:color="000000" w:sz="4"/>
                <w:insideH w:val="none"/>
                <w:insideV w:val="none"/>
              </w:tblBorders>
            </w:tblPr>
            <w:tblGrid>
              <w:gridCol w:w="197"/>
              <w:gridCol w:w="228"/>
              <w:gridCol w:w="384"/>
              <w:gridCol w:w="923"/>
              <w:gridCol w:w="829"/>
              <w:gridCol w:w="1441"/>
              <w:gridCol w:w="1596"/>
            </w:tblGrid>
            <w:tr>
              <w:tc>
                <w:tcPr>
                  <w:tcW w:type="dxa" w:w="197"/>
                  <w:tcBorders>
                    <w:top w:val="single" w:color="000000" w:sz="4"/>
                    <w:left w:val="single" w:color="000000" w:sz="4"/>
                    <w:bottom w:val="single" w:color="000000" w:sz="4"/>
                    <w:right w:val="single" w:color="000000" w:sz="4"/>
                  </w:tcBorders>
                  <w:shd w:fill="FFFFFF"/>
                  <w:vAlign w:val="top"/>
                </w:tcPr>
                <w:p>
                  <w:pPr>
                    <w:jc w:val="center"/>
                  </w:pPr>
                  <w:r>
                    <w:rPr>
                      <w:b/>
                      <w:sz w:val="21"/>
                    </w:rPr>
                    <w:t>序号</w:t>
                  </w:r>
                </w:p>
              </w:tc>
              <w:tc>
                <w:tcPr>
                  <w:tcW w:type="dxa" w:w="228"/>
                  <w:tcBorders>
                    <w:top w:val="single" w:color="000000" w:sz="4"/>
                    <w:left w:val="single" w:color="000000" w:sz="4"/>
                    <w:bottom w:val="single" w:color="000000" w:sz="4"/>
                    <w:right w:val="single" w:color="000000" w:sz="4"/>
                  </w:tcBorders>
                  <w:shd w:fill="FFFFFF"/>
                  <w:vAlign w:val="top"/>
                </w:tcPr>
                <w:p>
                  <w:pPr>
                    <w:jc w:val="center"/>
                  </w:pPr>
                  <w:r>
                    <w:rPr>
                      <w:b/>
                      <w:sz w:val="21"/>
                    </w:rPr>
                    <w:t>设备名称</w:t>
                  </w:r>
                </w:p>
              </w:tc>
              <w:tc>
                <w:tcPr>
                  <w:tcW w:type="dxa" w:w="384"/>
                  <w:tcBorders>
                    <w:top w:val="single" w:color="000000" w:sz="4"/>
                    <w:left w:val="single" w:color="000000" w:sz="4"/>
                    <w:bottom w:val="single" w:color="000000" w:sz="4"/>
                    <w:right w:val="single" w:color="000000" w:sz="4"/>
                  </w:tcBorders>
                  <w:shd w:fill="FFFFFF"/>
                  <w:vAlign w:val="top"/>
                </w:tcPr>
                <w:p>
                  <w:pPr>
                    <w:jc w:val="center"/>
                  </w:pPr>
                  <w:r>
                    <w:rPr>
                      <w:b/>
                      <w:sz w:val="21"/>
                    </w:rPr>
                    <w:t>设备配置</w:t>
                  </w:r>
                </w:p>
              </w:tc>
              <w:tc>
                <w:tcPr>
                  <w:tcW w:type="dxa" w:w="923"/>
                  <w:tcBorders>
                    <w:top w:val="single" w:color="000000" w:sz="4"/>
                    <w:left w:val="single" w:color="000000" w:sz="4"/>
                    <w:bottom w:val="single" w:color="000000" w:sz="4"/>
                    <w:right w:val="single" w:color="000000" w:sz="4"/>
                  </w:tcBorders>
                  <w:shd w:fill="FFFFFF"/>
                  <w:vAlign w:val="top"/>
                </w:tcPr>
                <w:p>
                  <w:pPr>
                    <w:jc w:val="center"/>
                  </w:pPr>
                  <w:r>
                    <w:rPr>
                      <w:b/>
                      <w:sz w:val="21"/>
                    </w:rPr>
                    <w:t>材料规格</w:t>
                  </w:r>
                </w:p>
              </w:tc>
              <w:tc>
                <w:tcPr>
                  <w:tcW w:type="dxa" w:w="829"/>
                  <w:tcBorders>
                    <w:top w:val="single" w:color="000000" w:sz="4"/>
                    <w:left w:val="single" w:color="000000" w:sz="4"/>
                    <w:bottom w:val="single" w:color="000000" w:sz="4"/>
                    <w:right w:val="single" w:color="000000" w:sz="4"/>
                  </w:tcBorders>
                  <w:shd w:fill="FFFFFF"/>
                  <w:vAlign w:val="top"/>
                </w:tcPr>
                <w:p>
                  <w:pPr>
                    <w:jc w:val="center"/>
                  </w:pPr>
                  <w:r>
                    <w:rPr>
                      <w:b/>
                      <w:sz w:val="21"/>
                    </w:rPr>
                    <w:t>技术参数</w:t>
                  </w:r>
                </w:p>
              </w:tc>
              <w:tc>
                <w:tcPr>
                  <w:tcW w:type="dxa" w:w="1441"/>
                  <w:tcBorders>
                    <w:top w:val="single" w:color="000000" w:sz="4"/>
                    <w:left w:val="single" w:color="000000" w:sz="4"/>
                    <w:bottom w:val="single" w:color="000000" w:sz="4"/>
                    <w:right w:val="single" w:color="000000" w:sz="4"/>
                  </w:tcBorders>
                  <w:shd w:fill="FFFFFF"/>
                  <w:vAlign w:val="top"/>
                </w:tcPr>
                <w:p>
                  <w:pPr>
                    <w:jc w:val="center"/>
                  </w:pPr>
                  <w:r>
                    <w:rPr>
                      <w:b/>
                      <w:sz w:val="21"/>
                    </w:rPr>
                    <w:t>釆用标准</w:t>
                  </w:r>
                </w:p>
              </w:tc>
              <w:tc>
                <w:tcPr>
                  <w:tcW w:type="dxa" w:w="1596"/>
                  <w:tcBorders>
                    <w:top w:val="single" w:color="000000" w:sz="4"/>
                    <w:left w:val="single" w:color="000000" w:sz="4"/>
                    <w:bottom w:val="single" w:color="000000" w:sz="4"/>
                    <w:right w:val="single" w:color="000000" w:sz="4"/>
                  </w:tcBorders>
                  <w:shd w:fill="FFFFFF"/>
                  <w:vAlign w:val="top"/>
                </w:tcPr>
                <w:p>
                  <w:pPr>
                    <w:jc w:val="center"/>
                  </w:pPr>
                  <w:r>
                    <w:rPr>
                      <w:b/>
                      <w:sz w:val="21"/>
                    </w:rPr>
                    <w:t>性能说明</w:t>
                  </w:r>
                </w:p>
              </w:tc>
            </w:tr>
            <w:tr>
              <w:tc>
                <w:tcPr>
                  <w:tcW w:type="dxa" w:w="197"/>
                  <w:vMerge w:val="restart"/>
                  <w:tcBorders>
                    <w:top w:val="none" w:color="000000" w:sz="4"/>
                    <w:left w:val="single" w:color="000000" w:sz="4"/>
                    <w:bottom w:val="single" w:color="000000" w:sz="4"/>
                    <w:right w:val="single" w:color="000000" w:sz="4"/>
                  </w:tcBorders>
                  <w:shd w:fill="FFFFFF"/>
                  <w:vAlign w:val="top"/>
                </w:tcPr>
                <w:p>
                  <w:pPr>
                    <w:jc w:val="center"/>
                  </w:pPr>
                  <w:r>
                    <w:rPr>
                      <w:sz w:val="21"/>
                    </w:rPr>
                    <w:t>1</w:t>
                  </w:r>
                </w:p>
              </w:tc>
              <w:tc>
                <w:tcPr>
                  <w:tcW w:type="dxa" w:w="228"/>
                  <w:vMerge w:val="restart"/>
                  <w:tcBorders>
                    <w:top w:val="none" w:color="000000" w:sz="4"/>
                    <w:left w:val="single" w:color="000000" w:sz="4"/>
                    <w:bottom w:val="single" w:color="000000" w:sz="4"/>
                    <w:right w:val="single" w:color="000000" w:sz="4"/>
                  </w:tcBorders>
                  <w:shd w:fill="FFFFFF"/>
                  <w:vAlign w:val="top"/>
                </w:tcPr>
                <w:p>
                  <w:pPr>
                    <w:jc w:val="center"/>
                  </w:pPr>
                  <w:r>
                    <w:rPr>
                      <w:sz w:val="21"/>
                    </w:rPr>
                    <w:t>路轨</w:t>
                  </w:r>
                </w:p>
              </w:tc>
              <w:tc>
                <w:tcPr>
                  <w:tcW w:type="dxa" w:w="384"/>
                  <w:tcBorders>
                    <w:top w:val="none" w:color="000000" w:sz="4"/>
                    <w:left w:val="single" w:color="000000" w:sz="4"/>
                    <w:bottom w:val="single" w:color="000000" w:sz="4"/>
                    <w:right w:val="single" w:color="000000" w:sz="4"/>
                  </w:tcBorders>
                  <w:shd w:fill="FFFFFF"/>
                  <w:vAlign w:val="top"/>
                </w:tcPr>
                <w:p>
                  <w:pPr>
                    <w:jc w:val="center"/>
                  </w:pPr>
                  <w:r>
                    <w:rPr>
                      <w:sz w:val="21"/>
                    </w:rPr>
                    <w:t>路轨垫板</w:t>
                  </w:r>
                </w:p>
              </w:tc>
              <w:tc>
                <w:tcPr>
                  <w:tcW w:type="dxa" w:w="923"/>
                  <w:tcBorders>
                    <w:top w:val="none" w:color="000000" w:sz="4"/>
                    <w:left w:val="single" w:color="000000" w:sz="4"/>
                    <w:bottom w:val="single" w:color="000000" w:sz="4"/>
                    <w:right w:val="single" w:color="000000" w:sz="4"/>
                  </w:tcBorders>
                  <w:shd w:fill="FFFFFF"/>
                  <w:vAlign w:val="top"/>
                </w:tcPr>
                <w:p>
                  <w:pPr>
                    <w:jc w:val="center"/>
                  </w:pPr>
                  <w:r>
                    <w:rPr>
                      <w:sz w:val="21"/>
                    </w:rPr>
                    <w:t>≥3.0</w:t>
                  </w:r>
                  <w:r>
                    <w:rPr>
                      <w:sz w:val="21"/>
                    </w:rPr>
                    <w:t>mm</w:t>
                  </w:r>
                </w:p>
              </w:tc>
              <w:tc>
                <w:tcPr>
                  <w:tcW w:type="dxa" w:w="829"/>
                  <w:vMerge w:val="restart"/>
                  <w:tcBorders>
                    <w:top w:val="none" w:color="000000" w:sz="4"/>
                    <w:left w:val="single" w:color="000000" w:sz="4"/>
                    <w:bottom w:val="single" w:color="000000" w:sz="4"/>
                    <w:right w:val="single" w:color="000000" w:sz="4"/>
                  </w:tcBorders>
                  <w:shd w:fill="FFFFFF"/>
                  <w:vAlign w:val="top"/>
                </w:tcPr>
                <w:p>
                  <w:pPr>
                    <w:jc w:val="center"/>
                  </w:pPr>
                  <w:r>
                    <w:rPr>
                      <w:sz w:val="21"/>
                    </w:rPr>
                    <w:t>优质冷轧钢板</w:t>
                  </w:r>
                </w:p>
              </w:tc>
              <w:tc>
                <w:tcPr>
                  <w:tcW w:type="dxa" w:w="1441"/>
                  <w:tcBorders>
                    <w:top w:val="none" w:color="000000" w:sz="4"/>
                    <w:left w:val="single" w:color="000000" w:sz="4"/>
                    <w:bottom w:val="single" w:color="000000" w:sz="4"/>
                    <w:right w:val="single" w:color="000000" w:sz="4"/>
                  </w:tcBorders>
                  <w:shd w:fill="FFFFFF"/>
                  <w:vAlign w:val="top"/>
                </w:tcPr>
                <w:p>
                  <w:pPr>
                    <w:jc w:val="center"/>
                  </w:pPr>
                  <w:r>
                    <w:rPr>
                      <w:sz w:val="21"/>
                    </w:rPr>
                    <w:t>GB711-88</w:t>
                  </w:r>
                </w:p>
              </w:tc>
              <w:tc>
                <w:tcPr>
                  <w:tcW w:type="dxa" w:w="1596"/>
                  <w:vMerge w:val="restart"/>
                  <w:tcBorders>
                    <w:top w:val="none" w:color="000000" w:sz="4"/>
                    <w:left w:val="single" w:color="000000" w:sz="4"/>
                    <w:bottom w:val="single" w:color="000000" w:sz="4"/>
                    <w:right w:val="single" w:color="000000" w:sz="4"/>
                  </w:tcBorders>
                  <w:shd w:fill="FFFFFF"/>
                  <w:vAlign w:val="top"/>
                </w:tcPr>
                <w:p>
                  <w:pPr>
                    <w:jc w:val="center"/>
                  </w:pPr>
                  <w:r>
                    <w:rPr>
                      <w:sz w:val="21"/>
                    </w:rPr>
                    <w:t>表面静电喷塑或镀铬处理，喷塑前经严格去油，除锈，磷化处理。</w:t>
                  </w:r>
                </w:p>
              </w:tc>
            </w:tr>
            <w:tr>
              <w:tc>
                <w:tcPr>
                  <w:tcW w:type="dxa" w:w="197"/>
                  <w:vMerge/>
                  <w:tcBorders>
                    <w:top w:val="none" w:color="000000" w:sz="4"/>
                    <w:left w:val="single" w:color="000000" w:sz="4"/>
                    <w:bottom w:val="single" w:color="000000" w:sz="4"/>
                    <w:right w:val="single" w:color="000000" w:sz="4"/>
                  </w:tcBorders>
                </w:tcPr>
                <w:p/>
              </w:tc>
              <w:tc>
                <w:tcPr>
                  <w:tcW w:type="dxa" w:w="228"/>
                  <w:vMerge/>
                  <w:tcBorders>
                    <w:top w:val="none" w:color="000000" w:sz="4"/>
                    <w:left w:val="single" w:color="000000" w:sz="4"/>
                    <w:bottom w:val="single" w:color="000000" w:sz="4"/>
                    <w:right w:val="single" w:color="000000" w:sz="4"/>
                  </w:tcBorders>
                </w:tcPr>
                <w:p/>
              </w:tc>
              <w:tc>
                <w:tcPr>
                  <w:tcW w:type="dxa" w:w="384"/>
                  <w:tcBorders>
                    <w:top w:val="none" w:color="000000" w:sz="4"/>
                    <w:left w:val="single" w:color="000000" w:sz="4"/>
                    <w:bottom w:val="single" w:color="000000" w:sz="4"/>
                    <w:right w:val="single" w:color="000000" w:sz="4"/>
                  </w:tcBorders>
                  <w:shd w:fill="FFFFFF"/>
                  <w:vAlign w:val="top"/>
                </w:tcPr>
                <w:p>
                  <w:pPr>
                    <w:jc w:val="center"/>
                  </w:pPr>
                  <w:r>
                    <w:rPr>
                      <w:sz w:val="21"/>
                    </w:rPr>
                    <w:t>轨芯</w:t>
                  </w:r>
                </w:p>
              </w:tc>
              <w:tc>
                <w:tcPr>
                  <w:tcW w:type="dxa" w:w="923"/>
                  <w:tcBorders>
                    <w:top w:val="none" w:color="000000" w:sz="4"/>
                    <w:left w:val="single" w:color="000000" w:sz="4"/>
                    <w:bottom w:val="single" w:color="000000" w:sz="4"/>
                    <w:right w:val="single" w:color="000000" w:sz="4"/>
                  </w:tcBorders>
                  <w:shd w:fill="FFFFFF"/>
                  <w:vAlign w:val="top"/>
                </w:tcPr>
                <w:p>
                  <w:pPr>
                    <w:jc w:val="center"/>
                  </w:pPr>
                  <w:r>
                    <w:rPr>
                      <w:sz w:val="21"/>
                    </w:rPr>
                    <w:t>20X20mm</w:t>
                  </w:r>
                </w:p>
              </w:tc>
              <w:tc>
                <w:tcPr>
                  <w:tcW w:type="dxa" w:w="829"/>
                  <w:vMerge/>
                  <w:tcBorders>
                    <w:top w:val="none" w:color="000000" w:sz="4"/>
                    <w:left w:val="single" w:color="000000" w:sz="4"/>
                    <w:bottom w:val="single" w:color="000000" w:sz="4"/>
                    <w:right w:val="single" w:color="000000" w:sz="4"/>
                  </w:tcBorders>
                </w:tcPr>
                <w:p/>
              </w:tc>
              <w:tc>
                <w:tcPr>
                  <w:tcW w:type="dxa" w:w="1441"/>
                  <w:tcBorders>
                    <w:top w:val="none" w:color="000000" w:sz="4"/>
                    <w:left w:val="single" w:color="000000" w:sz="4"/>
                    <w:bottom w:val="single" w:color="000000" w:sz="4"/>
                    <w:right w:val="single" w:color="000000" w:sz="4"/>
                  </w:tcBorders>
                  <w:shd w:fill="FFFFFF"/>
                  <w:vAlign w:val="top"/>
                </w:tcPr>
                <w:p>
                  <w:pPr>
                    <w:jc w:val="center"/>
                  </w:pPr>
                  <w:r>
                    <w:rPr>
                      <w:sz w:val="21"/>
                    </w:rPr>
                    <w:t>GB/T228.1-2016</w:t>
                  </w:r>
                </w:p>
              </w:tc>
            </w:tr>
            <w:tr>
              <w:tc>
                <w:tcPr>
                  <w:tcW w:type="dxa" w:w="197"/>
                  <w:tcBorders>
                    <w:top w:val="none" w:color="000000" w:sz="4"/>
                    <w:left w:val="single" w:color="000000" w:sz="4"/>
                    <w:bottom w:val="single" w:color="000000" w:sz="4"/>
                    <w:right w:val="single" w:color="000000" w:sz="4"/>
                  </w:tcBorders>
                  <w:shd w:fill="FFFFFF"/>
                  <w:vAlign w:val="top"/>
                </w:tcPr>
                <w:p>
                  <w:pPr>
                    <w:jc w:val="center"/>
                  </w:pPr>
                  <w:r>
                    <w:rPr>
                      <w:sz w:val="21"/>
                    </w:rPr>
                    <w:t>2</w:t>
                  </w:r>
                </w:p>
              </w:tc>
              <w:tc>
                <w:tcPr>
                  <w:tcW w:type="dxa" w:w="228"/>
                  <w:tcBorders>
                    <w:top w:val="none" w:color="000000" w:sz="4"/>
                    <w:left w:val="single" w:color="000000" w:sz="4"/>
                    <w:bottom w:val="single" w:color="000000" w:sz="4"/>
                    <w:right w:val="single" w:color="000000" w:sz="4"/>
                  </w:tcBorders>
                  <w:shd w:fill="FFFFFF"/>
                  <w:vAlign w:val="top"/>
                </w:tcPr>
                <w:p>
                  <w:pPr>
                    <w:jc w:val="center"/>
                  </w:pPr>
                  <w:r>
                    <w:rPr>
                      <w:sz w:val="21"/>
                    </w:rPr>
                    <w:t>底盘</w:t>
                  </w:r>
                </w:p>
              </w:tc>
              <w:tc>
                <w:tcPr>
                  <w:tcW w:type="dxa" w:w="384"/>
                  <w:tcBorders>
                    <w:top w:val="none" w:color="000000" w:sz="4"/>
                    <w:left w:val="single" w:color="000000" w:sz="4"/>
                    <w:bottom w:val="single" w:color="000000" w:sz="4"/>
                    <w:right w:val="single" w:color="000000" w:sz="4"/>
                  </w:tcBorders>
                  <w:shd w:fill="FFFFFF"/>
                  <w:vAlign w:val="top"/>
                </w:tcPr>
                <w:p>
                  <w:pPr>
                    <w:jc w:val="center"/>
                  </w:pPr>
                  <w:r>
                    <w:rPr>
                      <w:sz w:val="21"/>
                    </w:rPr>
                    <w:t>底梁、轴承支架</w:t>
                  </w:r>
                </w:p>
              </w:tc>
              <w:tc>
                <w:tcPr>
                  <w:tcW w:type="dxa" w:w="923"/>
                  <w:tcBorders>
                    <w:top w:val="none" w:color="000000" w:sz="4"/>
                    <w:left w:val="single" w:color="000000" w:sz="4"/>
                    <w:bottom w:val="single" w:color="000000" w:sz="4"/>
                    <w:right w:val="single" w:color="000000" w:sz="4"/>
                  </w:tcBorders>
                  <w:shd w:fill="FFFFFF"/>
                  <w:vAlign w:val="top"/>
                </w:tcPr>
                <w:p>
                  <w:pPr>
                    <w:jc w:val="center"/>
                  </w:pPr>
                  <w:r>
                    <w:rPr>
                      <w:sz w:val="21"/>
                    </w:rPr>
                    <w:t>δ≥3.</w:t>
                  </w:r>
                  <w:r>
                    <w:rPr>
                      <w:sz w:val="21"/>
                    </w:rPr>
                    <w:t>0mm</w:t>
                  </w:r>
                </w:p>
              </w:tc>
              <w:tc>
                <w:tcPr>
                  <w:tcW w:type="dxa" w:w="829"/>
                  <w:tcBorders>
                    <w:top w:val="none" w:color="000000" w:sz="4"/>
                    <w:left w:val="single" w:color="000000" w:sz="4"/>
                    <w:bottom w:val="single" w:color="000000" w:sz="4"/>
                    <w:right w:val="single" w:color="000000" w:sz="4"/>
                  </w:tcBorders>
                  <w:shd w:fill="FFFFFF"/>
                  <w:vAlign w:val="top"/>
                </w:tcPr>
                <w:p>
                  <w:pPr>
                    <w:jc w:val="center"/>
                  </w:pPr>
                  <w:r>
                    <w:rPr>
                      <w:sz w:val="21"/>
                    </w:rPr>
                    <w:t>优质冷轧钢板</w:t>
                  </w:r>
                </w:p>
              </w:tc>
              <w:tc>
                <w:tcPr>
                  <w:tcW w:type="dxa" w:w="1441"/>
                  <w:tcBorders>
                    <w:top w:val="none" w:color="000000" w:sz="4"/>
                    <w:left w:val="single" w:color="000000" w:sz="4"/>
                    <w:bottom w:val="single" w:color="000000" w:sz="4"/>
                    <w:right w:val="single" w:color="000000" w:sz="4"/>
                  </w:tcBorders>
                  <w:shd w:fill="FFFFFF"/>
                  <w:vAlign w:val="top"/>
                </w:tcPr>
                <w:p>
                  <w:pPr>
                    <w:jc w:val="center"/>
                  </w:pPr>
                  <w:r>
                    <w:rPr>
                      <w:sz w:val="21"/>
                    </w:rPr>
                    <w:t>GB/T4336-2016</w:t>
                  </w:r>
                </w:p>
              </w:tc>
              <w:tc>
                <w:tcPr>
                  <w:tcW w:type="dxa" w:w="1596"/>
                  <w:tcBorders>
                    <w:top w:val="none" w:color="000000" w:sz="4"/>
                    <w:left w:val="single" w:color="000000" w:sz="4"/>
                    <w:bottom w:val="single" w:color="000000" w:sz="4"/>
                    <w:right w:val="single" w:color="000000" w:sz="4"/>
                  </w:tcBorders>
                  <w:shd w:fill="FFFFFF"/>
                  <w:vAlign w:val="top"/>
                </w:tcPr>
                <w:p>
                  <w:pPr>
                    <w:jc w:val="center"/>
                  </w:pPr>
                  <w:r>
                    <w:rPr>
                      <w:sz w:val="21"/>
                    </w:rPr>
                    <w:t>底盘部件采用国内先进的下冲折全自动一体成型</w:t>
                  </w:r>
                  <w:r>
                    <w:rPr>
                      <w:sz w:val="21"/>
                    </w:rPr>
                    <w:t>机成型</w:t>
                  </w:r>
                  <w:r>
                    <w:rPr>
                      <w:sz w:val="21"/>
                    </w:rPr>
                    <w:t>.</w:t>
                  </w:r>
                  <w:r>
                    <w:rPr>
                      <w:sz w:val="21"/>
                    </w:rPr>
                    <w:t>可确保成型数据精准</w:t>
                  </w:r>
                  <w:r>
                    <w:rPr>
                      <w:sz w:val="21"/>
                    </w:rPr>
                    <w:t>.</w:t>
                  </w:r>
                  <w:r>
                    <w:rPr>
                      <w:sz w:val="21"/>
                    </w:rPr>
                    <w:t>从而保证每一件部件</w:t>
                  </w:r>
                  <w:r>
                    <w:rPr>
                      <w:sz w:val="21"/>
                    </w:rPr>
                    <w:t>的质量</w:t>
                  </w:r>
                  <w:r>
                    <w:rPr>
                      <w:sz w:val="21"/>
                    </w:rPr>
                    <w:t>.</w:t>
                  </w:r>
                  <w:r>
                    <w:rPr>
                      <w:sz w:val="21"/>
                    </w:rPr>
                    <w:t>底盘高</w:t>
                  </w:r>
                  <w:r>
                    <w:rPr>
                      <w:sz w:val="21"/>
                    </w:rPr>
                    <w:t>120mm，上面折弯不小于54mm，下面 折弯不小于24mm。</w:t>
                  </w:r>
                </w:p>
                <w:p>
                  <w:pPr>
                    <w:jc w:val="center"/>
                  </w:pPr>
                </w:p>
              </w:tc>
            </w:tr>
            <w:tr>
              <w:tc>
                <w:tcPr>
                  <w:tcW w:type="dxa" w:w="197"/>
                  <w:vMerge w:val="restart"/>
                  <w:tcBorders>
                    <w:top w:val="none" w:color="000000" w:sz="4"/>
                    <w:left w:val="single" w:color="000000" w:sz="4"/>
                    <w:bottom w:val="single" w:color="000000" w:sz="4"/>
                    <w:right w:val="single" w:color="000000" w:sz="4"/>
                  </w:tcBorders>
                  <w:shd w:fill="FFFFFF"/>
                  <w:vAlign w:val="top"/>
                </w:tcPr>
                <w:p>
                  <w:pPr>
                    <w:jc w:val="center"/>
                  </w:pPr>
                  <w:r>
                    <w:rPr>
                      <w:sz w:val="21"/>
                    </w:rPr>
                    <w:t>3</w:t>
                  </w:r>
                </w:p>
              </w:tc>
              <w:tc>
                <w:tcPr>
                  <w:tcW w:type="dxa" w:w="228"/>
                  <w:vMerge w:val="restart"/>
                  <w:tcBorders>
                    <w:top w:val="none" w:color="000000" w:sz="4"/>
                    <w:left w:val="single" w:color="000000" w:sz="4"/>
                    <w:bottom w:val="single" w:color="000000" w:sz="4"/>
                    <w:right w:val="single" w:color="000000" w:sz="4"/>
                  </w:tcBorders>
                  <w:shd w:fill="FFFFFF"/>
                  <w:vAlign w:val="top"/>
                </w:tcPr>
                <w:p>
                  <w:pPr>
                    <w:jc w:val="center"/>
                  </w:pPr>
                  <w:r>
                    <w:rPr>
                      <w:sz w:val="21"/>
                    </w:rPr>
                    <w:t>架体</w:t>
                  </w:r>
                </w:p>
              </w:tc>
              <w:tc>
                <w:tcPr>
                  <w:tcW w:type="dxa" w:w="384"/>
                  <w:tcBorders>
                    <w:top w:val="none" w:color="000000" w:sz="4"/>
                    <w:left w:val="single" w:color="000000" w:sz="4"/>
                    <w:bottom w:val="single" w:color="000000" w:sz="4"/>
                    <w:right w:val="single" w:color="000000" w:sz="4"/>
                  </w:tcBorders>
                  <w:shd w:fill="FFFFFF"/>
                  <w:vAlign w:val="top"/>
                </w:tcPr>
                <w:p>
                  <w:pPr>
                    <w:jc w:val="center"/>
                  </w:pPr>
                  <w:r>
                    <w:rPr>
                      <w:sz w:val="21"/>
                    </w:rPr>
                    <w:t>立柱</w:t>
                  </w:r>
                </w:p>
              </w:tc>
              <w:tc>
                <w:tcPr>
                  <w:tcW w:type="dxa" w:w="923"/>
                  <w:tcBorders>
                    <w:top w:val="none" w:color="000000" w:sz="4"/>
                    <w:left w:val="single" w:color="000000" w:sz="4"/>
                    <w:bottom w:val="single" w:color="000000" w:sz="4"/>
                    <w:right w:val="single" w:color="000000" w:sz="4"/>
                  </w:tcBorders>
                  <w:shd w:fill="FFFFFF"/>
                  <w:vAlign w:val="top"/>
                </w:tcPr>
                <w:p>
                  <w:pPr>
                    <w:jc w:val="center"/>
                  </w:pPr>
                  <w:r>
                    <w:rPr>
                      <w:sz w:val="21"/>
                    </w:rPr>
                    <w:t>δ≥1.5</w:t>
                  </w:r>
                  <w:r>
                    <w:rPr>
                      <w:sz w:val="21"/>
                    </w:rPr>
                    <w:t>mm</w:t>
                  </w:r>
                </w:p>
              </w:tc>
              <w:tc>
                <w:tcPr>
                  <w:tcW w:type="dxa" w:w="829"/>
                  <w:vMerge w:val="restart"/>
                  <w:tcBorders>
                    <w:top w:val="none" w:color="000000" w:sz="4"/>
                    <w:left w:val="single" w:color="000000" w:sz="4"/>
                    <w:bottom w:val="single" w:color="000000" w:sz="4"/>
                    <w:right w:val="single" w:color="000000" w:sz="4"/>
                  </w:tcBorders>
                  <w:shd w:fill="FFFFFF"/>
                  <w:vAlign w:val="top"/>
                </w:tcPr>
                <w:p>
                  <w:pPr>
                    <w:jc w:val="center"/>
                  </w:pPr>
                  <w:r>
                    <w:rPr>
                      <w:sz w:val="21"/>
                    </w:rPr>
                    <w:t>优质冷轧钢板</w:t>
                  </w:r>
                </w:p>
              </w:tc>
              <w:tc>
                <w:tcPr>
                  <w:tcW w:type="dxa" w:w="1441"/>
                  <w:tcBorders>
                    <w:top w:val="none" w:color="000000" w:sz="4"/>
                    <w:left w:val="single" w:color="000000" w:sz="4"/>
                    <w:bottom w:val="single" w:color="000000" w:sz="4"/>
                    <w:right w:val="single" w:color="000000" w:sz="4"/>
                  </w:tcBorders>
                  <w:shd w:fill="FFFFFF"/>
                  <w:vAlign w:val="top"/>
                </w:tcPr>
                <w:p>
                  <w:pPr>
                    <w:jc w:val="center"/>
                  </w:pPr>
                  <w:r>
                    <w:rPr>
                      <w:sz w:val="21"/>
                    </w:rPr>
                    <w:t>GB/T4336-2016</w:t>
                  </w:r>
                </w:p>
              </w:tc>
              <w:tc>
                <w:tcPr>
                  <w:tcW w:type="dxa" w:w="1596"/>
                  <w:tcBorders>
                    <w:top w:val="none" w:color="000000" w:sz="4"/>
                    <w:left w:val="single" w:color="000000" w:sz="4"/>
                    <w:bottom w:val="single" w:color="000000" w:sz="4"/>
                    <w:right w:val="single" w:color="000000" w:sz="4"/>
                  </w:tcBorders>
                  <w:shd w:fill="FFFFFF"/>
                  <w:vAlign w:val="top"/>
                </w:tcPr>
                <w:p>
                  <w:pPr>
                    <w:jc w:val="center"/>
                  </w:pPr>
                  <w:r>
                    <w:rPr>
                      <w:sz w:val="21"/>
                    </w:rPr>
                    <w:t>立柱均匀冲孔，使层数和间距可按需要调整。</w:t>
                  </w:r>
                </w:p>
              </w:tc>
            </w:tr>
            <w:tr>
              <w:tc>
                <w:tcPr>
                  <w:tcW w:type="dxa" w:w="197"/>
                  <w:vMerge/>
                  <w:tcBorders>
                    <w:top w:val="none" w:color="000000" w:sz="4"/>
                    <w:left w:val="single" w:color="000000" w:sz="4"/>
                    <w:bottom w:val="single" w:color="000000" w:sz="4"/>
                    <w:right w:val="single" w:color="000000" w:sz="4"/>
                  </w:tcBorders>
                </w:tcPr>
                <w:p/>
              </w:tc>
              <w:tc>
                <w:tcPr>
                  <w:tcW w:type="dxa" w:w="228"/>
                  <w:vMerge/>
                  <w:tcBorders>
                    <w:top w:val="none" w:color="000000" w:sz="4"/>
                    <w:left w:val="single" w:color="000000" w:sz="4"/>
                    <w:bottom w:val="single" w:color="000000" w:sz="4"/>
                    <w:right w:val="single" w:color="000000" w:sz="4"/>
                  </w:tcBorders>
                </w:tcPr>
                <w:p/>
              </w:tc>
              <w:tc>
                <w:tcPr>
                  <w:tcW w:type="dxa" w:w="384"/>
                  <w:tcBorders>
                    <w:top w:val="none" w:color="000000" w:sz="4"/>
                    <w:left w:val="single" w:color="000000" w:sz="4"/>
                    <w:bottom w:val="single" w:color="000000" w:sz="4"/>
                    <w:right w:val="single" w:color="000000" w:sz="4"/>
                  </w:tcBorders>
                  <w:shd w:fill="FFFFFF"/>
                  <w:vAlign w:val="top"/>
                </w:tcPr>
                <w:p>
                  <w:pPr>
                    <w:jc w:val="center"/>
                  </w:pPr>
                  <w:r>
                    <w:rPr>
                      <w:sz w:val="21"/>
                    </w:rPr>
                    <w:t>层板</w:t>
                  </w:r>
                </w:p>
              </w:tc>
              <w:tc>
                <w:tcPr>
                  <w:tcW w:type="dxa" w:w="923"/>
                  <w:tcBorders>
                    <w:top w:val="none" w:color="000000" w:sz="4"/>
                    <w:left w:val="single" w:color="000000" w:sz="4"/>
                    <w:bottom w:val="single" w:color="000000" w:sz="4"/>
                    <w:right w:val="single" w:color="000000" w:sz="4"/>
                  </w:tcBorders>
                  <w:shd w:fill="FFFFFF"/>
                  <w:vAlign w:val="top"/>
                </w:tcPr>
                <w:p>
                  <w:pPr>
                    <w:jc w:val="center"/>
                  </w:pPr>
                  <w:r>
                    <w:rPr>
                      <w:sz w:val="21"/>
                    </w:rPr>
                    <w:t>δ≥1.0</w:t>
                  </w:r>
                  <w:r>
                    <w:rPr>
                      <w:sz w:val="21"/>
                    </w:rPr>
                    <w:t>mm</w:t>
                  </w:r>
                </w:p>
              </w:tc>
              <w:tc>
                <w:tcPr>
                  <w:tcW w:type="dxa" w:w="829"/>
                  <w:vMerge/>
                  <w:tcBorders>
                    <w:top w:val="none" w:color="000000" w:sz="4"/>
                    <w:left w:val="single" w:color="000000" w:sz="4"/>
                    <w:bottom w:val="single" w:color="000000" w:sz="4"/>
                    <w:right w:val="single" w:color="000000" w:sz="4"/>
                  </w:tcBorders>
                </w:tcPr>
                <w:p/>
              </w:tc>
              <w:tc>
                <w:tcPr>
                  <w:tcW w:type="dxa" w:w="1441"/>
                  <w:tcBorders>
                    <w:top w:val="none" w:color="000000" w:sz="4"/>
                    <w:left w:val="single" w:color="000000" w:sz="4"/>
                    <w:bottom w:val="single" w:color="000000" w:sz="4"/>
                    <w:right w:val="single" w:color="000000" w:sz="4"/>
                  </w:tcBorders>
                  <w:shd w:fill="FFFFFF"/>
                  <w:vAlign w:val="top"/>
                </w:tcPr>
                <w:p>
                  <w:pPr>
                    <w:jc w:val="center"/>
                  </w:pPr>
                  <w:r>
                    <w:rPr>
                      <w:sz w:val="21"/>
                    </w:rPr>
                    <w:t>GB/T4336-2016</w:t>
                  </w:r>
                </w:p>
              </w:tc>
              <w:tc>
                <w:tcPr>
                  <w:tcW w:type="dxa" w:w="1596"/>
                  <w:tcBorders>
                    <w:top w:val="none" w:color="000000" w:sz="4"/>
                    <w:left w:val="single" w:color="000000" w:sz="4"/>
                    <w:bottom w:val="single" w:color="000000" w:sz="4"/>
                    <w:right w:val="single" w:color="000000" w:sz="4"/>
                  </w:tcBorders>
                  <w:shd w:fill="FFFFFF"/>
                  <w:vAlign w:val="top"/>
                </w:tcPr>
                <w:p>
                  <w:pPr>
                    <w:jc w:val="center"/>
                  </w:pPr>
                  <w:r>
                    <w:rPr>
                      <w:sz w:val="21"/>
                    </w:rPr>
                    <w:t>层板结构结实、坚固，设计新颖，通用性强，每层承重</w:t>
                  </w:r>
                  <w:r>
                    <w:rPr>
                      <w:sz w:val="21"/>
                    </w:rPr>
                    <w:t>80kg，</w:t>
                  </w:r>
                  <w:r>
                    <w:rPr>
                      <w:sz w:val="21"/>
                    </w:rPr>
                    <w:t>层数和间距可按需要调整</w:t>
                  </w:r>
                </w:p>
              </w:tc>
            </w:tr>
            <w:tr>
              <w:tc>
                <w:tcPr>
                  <w:tcW w:type="dxa" w:w="197"/>
                  <w:vMerge/>
                  <w:tcBorders>
                    <w:top w:val="none" w:color="000000" w:sz="4"/>
                    <w:left w:val="single" w:color="000000" w:sz="4"/>
                    <w:bottom w:val="single" w:color="000000" w:sz="4"/>
                    <w:right w:val="single" w:color="000000" w:sz="4"/>
                  </w:tcBorders>
                </w:tcPr>
                <w:p/>
              </w:tc>
              <w:tc>
                <w:tcPr>
                  <w:tcW w:type="dxa" w:w="228"/>
                  <w:vMerge/>
                  <w:tcBorders>
                    <w:top w:val="none" w:color="000000" w:sz="4"/>
                    <w:left w:val="single" w:color="000000" w:sz="4"/>
                    <w:bottom w:val="single" w:color="000000" w:sz="4"/>
                    <w:right w:val="single" w:color="000000" w:sz="4"/>
                  </w:tcBorders>
                </w:tcPr>
                <w:p/>
              </w:tc>
              <w:tc>
                <w:tcPr>
                  <w:tcW w:type="dxa" w:w="384"/>
                  <w:tcBorders>
                    <w:top w:val="none" w:color="000000" w:sz="4"/>
                    <w:left w:val="single" w:color="000000" w:sz="4"/>
                    <w:bottom w:val="single" w:color="000000" w:sz="4"/>
                    <w:right w:val="single" w:color="000000" w:sz="4"/>
                  </w:tcBorders>
                  <w:shd w:fill="FFFFFF"/>
                  <w:vAlign w:val="top"/>
                </w:tcPr>
                <w:p>
                  <w:pPr>
                    <w:jc w:val="center"/>
                  </w:pPr>
                  <w:r>
                    <w:rPr>
                      <w:sz w:val="21"/>
                    </w:rPr>
                    <w:t>挂板</w:t>
                  </w:r>
                </w:p>
              </w:tc>
              <w:tc>
                <w:tcPr>
                  <w:tcW w:type="dxa" w:w="923"/>
                  <w:tcBorders>
                    <w:top w:val="none" w:color="000000" w:sz="4"/>
                    <w:left w:val="single" w:color="000000" w:sz="4"/>
                    <w:bottom w:val="single" w:color="000000" w:sz="4"/>
                    <w:right w:val="single" w:color="000000" w:sz="4"/>
                  </w:tcBorders>
                  <w:shd w:fill="FFFFFF"/>
                  <w:vAlign w:val="top"/>
                </w:tcPr>
                <w:p>
                  <w:pPr>
                    <w:jc w:val="center"/>
                  </w:pPr>
                  <w:r>
                    <w:rPr>
                      <w:sz w:val="21"/>
                    </w:rPr>
                    <w:t>δ≥1.0</w:t>
                  </w:r>
                  <w:r>
                    <w:rPr>
                      <w:sz w:val="21"/>
                    </w:rPr>
                    <w:t>mm</w:t>
                  </w:r>
                </w:p>
              </w:tc>
              <w:tc>
                <w:tcPr>
                  <w:tcW w:type="dxa" w:w="829"/>
                  <w:vMerge/>
                  <w:tcBorders>
                    <w:top w:val="none" w:color="000000" w:sz="4"/>
                    <w:left w:val="single" w:color="000000" w:sz="4"/>
                    <w:bottom w:val="single" w:color="000000" w:sz="4"/>
                    <w:right w:val="single" w:color="000000" w:sz="4"/>
                  </w:tcBorders>
                </w:tcPr>
                <w:p/>
              </w:tc>
              <w:tc>
                <w:tcPr>
                  <w:tcW w:type="dxa" w:w="1441"/>
                  <w:tcBorders>
                    <w:top w:val="none" w:color="000000" w:sz="4"/>
                    <w:left w:val="single" w:color="000000" w:sz="4"/>
                    <w:bottom w:val="single" w:color="000000" w:sz="4"/>
                    <w:right w:val="single" w:color="000000" w:sz="4"/>
                  </w:tcBorders>
                  <w:shd w:fill="FFFFFF"/>
                  <w:vAlign w:val="top"/>
                </w:tcPr>
                <w:p>
                  <w:pPr>
                    <w:jc w:val="center"/>
                  </w:pPr>
                  <w:r>
                    <w:rPr>
                      <w:sz w:val="21"/>
                    </w:rPr>
                    <w:t>GB/T4336-2016</w:t>
                  </w:r>
                </w:p>
              </w:tc>
              <w:tc>
                <w:tcPr>
                  <w:tcW w:type="dxa" w:w="1596"/>
                  <w:tcBorders>
                    <w:top w:val="none" w:color="000000" w:sz="4"/>
                    <w:left w:val="single" w:color="000000" w:sz="4"/>
                    <w:bottom w:val="single" w:color="000000" w:sz="4"/>
                    <w:right w:val="single" w:color="000000" w:sz="4"/>
                  </w:tcBorders>
                  <w:shd w:fill="FFFFFF"/>
                  <w:vAlign w:val="top"/>
                </w:tcPr>
                <w:p>
                  <w:pPr>
                    <w:jc w:val="center"/>
                  </w:pPr>
                  <w:r>
                    <w:rPr>
                      <w:sz w:val="21"/>
                    </w:rPr>
                    <w:t>挂板采用工匠卯榫原理十扣式结构增强挂板支撑力</w:t>
                  </w:r>
                  <w:r>
                    <w:rPr>
                      <w:sz w:val="21"/>
                    </w:rPr>
                    <w:t>.</w:t>
                  </w:r>
                  <w:r>
                    <w:rPr>
                      <w:sz w:val="21"/>
                    </w:rPr>
                    <w:t>并且压筋互换性好。</w:t>
                  </w:r>
                </w:p>
              </w:tc>
            </w:tr>
            <w:tr>
              <w:tc>
                <w:tcPr>
                  <w:tcW w:type="dxa" w:w="197"/>
                  <w:vMerge/>
                  <w:tcBorders>
                    <w:top w:val="none" w:color="000000" w:sz="4"/>
                    <w:left w:val="single" w:color="000000" w:sz="4"/>
                    <w:bottom w:val="single" w:color="000000" w:sz="4"/>
                    <w:right w:val="single" w:color="000000" w:sz="4"/>
                  </w:tcBorders>
                </w:tcPr>
                <w:p/>
              </w:tc>
              <w:tc>
                <w:tcPr>
                  <w:tcW w:type="dxa" w:w="228"/>
                  <w:vMerge/>
                  <w:tcBorders>
                    <w:top w:val="none" w:color="000000" w:sz="4"/>
                    <w:left w:val="single" w:color="000000" w:sz="4"/>
                    <w:bottom w:val="single" w:color="000000" w:sz="4"/>
                    <w:right w:val="single" w:color="000000" w:sz="4"/>
                  </w:tcBorders>
                </w:tcPr>
                <w:p/>
              </w:tc>
              <w:tc>
                <w:tcPr>
                  <w:tcW w:type="dxa" w:w="384"/>
                  <w:tcBorders>
                    <w:top w:val="none" w:color="000000" w:sz="4"/>
                    <w:left w:val="single" w:color="000000" w:sz="4"/>
                    <w:bottom w:val="single" w:color="000000" w:sz="4"/>
                    <w:right w:val="single" w:color="000000" w:sz="4"/>
                  </w:tcBorders>
                  <w:shd w:fill="FFFFFF"/>
                  <w:vAlign w:val="top"/>
                </w:tcPr>
                <w:p>
                  <w:pPr>
                    <w:jc w:val="center"/>
                  </w:pPr>
                  <w:r>
                    <w:rPr>
                      <w:sz w:val="21"/>
                    </w:rPr>
                    <w:t>挡棒</w:t>
                  </w:r>
                </w:p>
              </w:tc>
              <w:tc>
                <w:tcPr>
                  <w:tcW w:type="dxa" w:w="923"/>
                  <w:tcBorders>
                    <w:top w:val="none" w:color="000000" w:sz="4"/>
                    <w:left w:val="single" w:color="000000" w:sz="4"/>
                    <w:bottom w:val="single" w:color="000000" w:sz="4"/>
                    <w:right w:val="single" w:color="000000" w:sz="4"/>
                  </w:tcBorders>
                  <w:shd w:fill="FFFFFF"/>
                  <w:vAlign w:val="top"/>
                </w:tcPr>
                <w:p>
                  <w:pPr>
                    <w:jc w:val="center"/>
                  </w:pPr>
                  <w:r>
                    <w:rPr>
                      <w:sz w:val="21"/>
                    </w:rPr>
                    <w:t>δ≥1.0</w:t>
                  </w:r>
                  <w:r>
                    <w:rPr>
                      <w:sz w:val="21"/>
                    </w:rPr>
                    <w:t>mm</w:t>
                  </w:r>
                </w:p>
              </w:tc>
              <w:tc>
                <w:tcPr>
                  <w:tcW w:type="dxa" w:w="829"/>
                  <w:vMerge/>
                  <w:tcBorders>
                    <w:top w:val="none" w:color="000000" w:sz="4"/>
                    <w:left w:val="single" w:color="000000" w:sz="4"/>
                    <w:bottom w:val="single" w:color="000000" w:sz="4"/>
                    <w:right w:val="single" w:color="000000" w:sz="4"/>
                  </w:tcBorders>
                </w:tcPr>
                <w:p/>
              </w:tc>
              <w:tc>
                <w:tcPr>
                  <w:tcW w:type="dxa" w:w="1441"/>
                  <w:tcBorders>
                    <w:top w:val="none" w:color="000000" w:sz="4"/>
                    <w:left w:val="single" w:color="000000" w:sz="4"/>
                    <w:bottom w:val="single" w:color="000000" w:sz="4"/>
                    <w:right w:val="single" w:color="000000" w:sz="4"/>
                  </w:tcBorders>
                  <w:shd w:fill="FFFFFF"/>
                  <w:vAlign w:val="top"/>
                </w:tcPr>
                <w:p>
                  <w:pPr>
                    <w:jc w:val="center"/>
                  </w:pPr>
                  <w:r>
                    <w:rPr>
                      <w:sz w:val="21"/>
                    </w:rPr>
                    <w:t>GB/T4336-2016</w:t>
                  </w:r>
                </w:p>
              </w:tc>
              <w:tc>
                <w:tcPr>
                  <w:tcW w:type="dxa" w:w="1596"/>
                  <w:tcBorders>
                    <w:top w:val="none" w:color="000000" w:sz="4"/>
                    <w:left w:val="single" w:color="000000" w:sz="4"/>
                    <w:bottom w:val="single" w:color="000000" w:sz="4"/>
                    <w:right w:val="single" w:color="000000" w:sz="4"/>
                  </w:tcBorders>
                  <w:shd w:fill="FFFFFF"/>
                  <w:vAlign w:val="top"/>
                </w:tcPr>
                <w:p>
                  <w:pPr>
                    <w:jc w:val="center"/>
                  </w:pPr>
                  <w:r>
                    <w:rPr>
                      <w:sz w:val="21"/>
                    </w:rPr>
                    <w:t>挡棒与挂板、层板间连接美观、两头带有防脱落挂钩。</w:t>
                  </w:r>
                </w:p>
              </w:tc>
            </w:tr>
            <w:tr>
              <w:tc>
                <w:tcPr>
                  <w:tcW w:type="dxa" w:w="197"/>
                  <w:vMerge w:val="restart"/>
                  <w:tcBorders>
                    <w:top w:val="none" w:color="000000" w:sz="4"/>
                    <w:left w:val="single" w:color="000000" w:sz="4"/>
                    <w:bottom w:val="single" w:color="000000" w:sz="4"/>
                    <w:right w:val="single" w:color="000000" w:sz="4"/>
                  </w:tcBorders>
                  <w:shd w:fill="FFFFFF"/>
                  <w:vAlign w:val="top"/>
                </w:tcPr>
                <w:p>
                  <w:pPr>
                    <w:jc w:val="center"/>
                  </w:pPr>
                  <w:r>
                    <w:rPr>
                      <w:sz w:val="21"/>
                    </w:rPr>
                    <w:t>4</w:t>
                  </w:r>
                </w:p>
              </w:tc>
              <w:tc>
                <w:tcPr>
                  <w:tcW w:type="dxa" w:w="228"/>
                  <w:vMerge w:val="restart"/>
                  <w:tcBorders>
                    <w:top w:val="none" w:color="000000" w:sz="4"/>
                    <w:left w:val="single" w:color="000000" w:sz="4"/>
                    <w:bottom w:val="single" w:color="000000" w:sz="4"/>
                    <w:right w:val="single" w:color="000000" w:sz="4"/>
                  </w:tcBorders>
                  <w:shd w:fill="FFFFFF"/>
                  <w:vAlign w:val="top"/>
                </w:tcPr>
                <w:p>
                  <w:pPr>
                    <w:jc w:val="center"/>
                  </w:pPr>
                  <w:r>
                    <w:rPr>
                      <w:sz w:val="21"/>
                    </w:rPr>
                    <w:t>门面</w:t>
                  </w:r>
                </w:p>
              </w:tc>
              <w:tc>
                <w:tcPr>
                  <w:tcW w:type="dxa" w:w="384"/>
                  <w:tcBorders>
                    <w:top w:val="none" w:color="000000" w:sz="4"/>
                    <w:left w:val="single" w:color="000000" w:sz="4"/>
                    <w:bottom w:val="single" w:color="000000" w:sz="4"/>
                    <w:right w:val="single" w:color="000000" w:sz="4"/>
                  </w:tcBorders>
                  <w:shd w:fill="FFFFFF"/>
                  <w:vAlign w:val="top"/>
                </w:tcPr>
                <w:p>
                  <w:pPr>
                    <w:jc w:val="center"/>
                  </w:pPr>
                  <w:r>
                    <w:rPr>
                      <w:sz w:val="21"/>
                    </w:rPr>
                    <w:t>门板</w:t>
                  </w:r>
                </w:p>
              </w:tc>
              <w:tc>
                <w:tcPr>
                  <w:tcW w:type="dxa" w:w="923"/>
                  <w:tcBorders>
                    <w:top w:val="none" w:color="000000" w:sz="4"/>
                    <w:left w:val="single" w:color="000000" w:sz="4"/>
                    <w:bottom w:val="single" w:color="000000" w:sz="4"/>
                    <w:right w:val="single" w:color="000000" w:sz="4"/>
                  </w:tcBorders>
                  <w:shd w:fill="FFFFFF"/>
                  <w:vAlign w:val="top"/>
                </w:tcPr>
                <w:p>
                  <w:pPr>
                    <w:jc w:val="center"/>
                  </w:pPr>
                  <w:r>
                    <w:rPr>
                      <w:sz w:val="21"/>
                    </w:rPr>
                    <w:t>δ≥</w:t>
                  </w:r>
                  <w:r>
                    <w:rPr>
                      <w:sz w:val="21"/>
                    </w:rPr>
                    <w:t>0.8</w:t>
                  </w:r>
                  <w:r>
                    <w:rPr>
                      <w:sz w:val="21"/>
                    </w:rPr>
                    <w:t>mm</w:t>
                  </w:r>
                </w:p>
              </w:tc>
              <w:tc>
                <w:tcPr>
                  <w:tcW w:type="dxa" w:w="829"/>
                  <w:tcBorders>
                    <w:top w:val="none" w:color="000000" w:sz="4"/>
                    <w:left w:val="single" w:color="000000" w:sz="4"/>
                    <w:bottom w:val="single" w:color="000000" w:sz="4"/>
                    <w:right w:val="single" w:color="000000" w:sz="4"/>
                  </w:tcBorders>
                  <w:shd w:fill="FFFFFF"/>
                  <w:vAlign w:val="top"/>
                </w:tcPr>
                <w:p>
                  <w:pPr>
                    <w:jc w:val="center"/>
                  </w:pPr>
                  <w:r>
                    <w:rPr>
                      <w:sz w:val="21"/>
                    </w:rPr>
                    <w:t>优质冷轧钢板</w:t>
                  </w:r>
                </w:p>
              </w:tc>
              <w:tc>
                <w:tcPr>
                  <w:tcW w:type="dxa" w:w="1441"/>
                  <w:tcBorders>
                    <w:top w:val="none" w:color="000000" w:sz="4"/>
                    <w:left w:val="single" w:color="000000" w:sz="4"/>
                    <w:bottom w:val="single" w:color="000000" w:sz="4"/>
                    <w:right w:val="single" w:color="000000" w:sz="4"/>
                  </w:tcBorders>
                  <w:shd w:fill="FFFFFF"/>
                  <w:vAlign w:val="top"/>
                </w:tcPr>
                <w:p>
                  <w:pPr>
                    <w:jc w:val="center"/>
                  </w:pPr>
                  <w:r>
                    <w:rPr>
                      <w:sz w:val="21"/>
                    </w:rPr>
                    <w:t>GB/T4336-2016</w:t>
                  </w:r>
                </w:p>
              </w:tc>
              <w:tc>
                <w:tcPr>
                  <w:tcW w:type="dxa" w:w="1596"/>
                  <w:vMerge w:val="restart"/>
                  <w:tcBorders>
                    <w:top w:val="none" w:color="000000" w:sz="4"/>
                    <w:left w:val="single" w:color="000000" w:sz="4"/>
                    <w:bottom w:val="single" w:color="000000" w:sz="4"/>
                    <w:right w:val="single" w:color="000000" w:sz="4"/>
                  </w:tcBorders>
                  <w:shd w:fill="FFFFFF"/>
                  <w:vAlign w:val="top"/>
                </w:tcPr>
                <w:p>
                  <w:pPr>
                    <w:jc w:val="center"/>
                  </w:pPr>
                  <w:r>
                    <w:rPr>
                      <w:sz w:val="21"/>
                    </w:rPr>
                    <w:t>门板平整，款式新颖，表面采用无磷脱脂、陶化处理</w:t>
                  </w:r>
                  <w:r>
                    <w:rPr>
                      <w:sz w:val="21"/>
                    </w:rPr>
                    <w:t>后，再进行先进的全自动静电喷涂处理，使外观效果更佳，并且具有更好的防腐蚀性。</w:t>
                  </w:r>
                </w:p>
                <w:p>
                  <w:pPr>
                    <w:jc w:val="center"/>
                  </w:pPr>
                </w:p>
              </w:tc>
            </w:tr>
            <w:tr>
              <w:tc>
                <w:tcPr>
                  <w:tcW w:type="dxa" w:w="197"/>
                  <w:vMerge/>
                  <w:tcBorders>
                    <w:top w:val="none" w:color="000000" w:sz="4"/>
                    <w:left w:val="single" w:color="000000" w:sz="4"/>
                    <w:bottom w:val="single" w:color="000000" w:sz="4"/>
                    <w:right w:val="single" w:color="000000" w:sz="4"/>
                  </w:tcBorders>
                </w:tcPr>
                <w:p/>
              </w:tc>
              <w:tc>
                <w:tcPr>
                  <w:tcW w:type="dxa" w:w="228"/>
                  <w:vMerge/>
                  <w:tcBorders>
                    <w:top w:val="none" w:color="000000" w:sz="4"/>
                    <w:left w:val="single" w:color="000000" w:sz="4"/>
                    <w:bottom w:val="single" w:color="000000" w:sz="4"/>
                    <w:right w:val="single" w:color="000000" w:sz="4"/>
                  </w:tcBorders>
                </w:tcPr>
                <w:p/>
              </w:tc>
              <w:tc>
                <w:tcPr>
                  <w:tcW w:type="dxa" w:w="384"/>
                  <w:tcBorders>
                    <w:top w:val="none" w:color="000000" w:sz="4"/>
                    <w:left w:val="single" w:color="000000" w:sz="4"/>
                    <w:bottom w:val="single" w:color="000000" w:sz="4"/>
                    <w:right w:val="single" w:color="000000" w:sz="4"/>
                  </w:tcBorders>
                  <w:shd w:fill="FFFFFF"/>
                  <w:vAlign w:val="top"/>
                </w:tcPr>
                <w:p>
                  <w:pPr>
                    <w:jc w:val="center"/>
                  </w:pPr>
                  <w:r>
                    <w:rPr>
                      <w:sz w:val="21"/>
                    </w:rPr>
                    <w:t>定位模板</w:t>
                  </w:r>
                </w:p>
              </w:tc>
              <w:tc>
                <w:tcPr>
                  <w:tcW w:type="dxa" w:w="923"/>
                  <w:tcBorders>
                    <w:top w:val="none" w:color="000000" w:sz="4"/>
                    <w:left w:val="single" w:color="000000" w:sz="4"/>
                    <w:bottom w:val="single" w:color="000000" w:sz="4"/>
                    <w:right w:val="single" w:color="000000" w:sz="4"/>
                  </w:tcBorders>
                  <w:shd w:fill="FFFFFF"/>
                  <w:vAlign w:val="top"/>
                </w:tcPr>
                <w:p>
                  <w:pPr>
                    <w:jc w:val="center"/>
                  </w:pPr>
                  <w:r>
                    <w:rPr>
                      <w:sz w:val="21"/>
                    </w:rPr>
                    <w:t>ABS</w:t>
                  </w:r>
                </w:p>
              </w:tc>
              <w:tc>
                <w:tcPr>
                  <w:tcW w:type="dxa" w:w="829"/>
                  <w:tcBorders>
                    <w:top w:val="none" w:color="000000" w:sz="4"/>
                    <w:left w:val="single" w:color="000000" w:sz="4"/>
                    <w:bottom w:val="single" w:color="000000" w:sz="4"/>
                    <w:right w:val="single" w:color="000000" w:sz="4"/>
                  </w:tcBorders>
                  <w:shd w:fill="FFFFFF"/>
                  <w:vAlign w:val="top"/>
                </w:tcPr>
                <w:p>
                  <w:pPr>
                    <w:jc w:val="center"/>
                  </w:pPr>
                  <w:r>
                    <w:rPr>
                      <w:sz w:val="21"/>
                    </w:rPr>
                    <w:t>优质塑胶注塑件</w:t>
                  </w:r>
                </w:p>
              </w:tc>
              <w:tc>
                <w:tcPr>
                  <w:tcW w:type="dxa" w:w="1441"/>
                  <w:tcBorders>
                    <w:top w:val="none" w:color="000000" w:sz="4"/>
                    <w:left w:val="single" w:color="000000" w:sz="4"/>
                    <w:bottom w:val="single" w:color="000000" w:sz="4"/>
                    <w:right w:val="single" w:color="000000" w:sz="4"/>
                  </w:tcBorders>
                  <w:shd w:fill="FFFFFF"/>
                  <w:vAlign w:val="top"/>
                </w:tcPr>
                <w:p>
                  <w:pPr>
                    <w:jc w:val="center"/>
                  </w:pPr>
                  <w:r>
                    <w:rPr>
                      <w:sz w:val="21"/>
                    </w:rPr>
                    <w:t>GB/T12672-2009</w:t>
                  </w:r>
                </w:p>
              </w:tc>
            </w:tr>
            <w:tr>
              <w:tc>
                <w:tcPr>
                  <w:tcW w:type="dxa" w:w="197"/>
                  <w:vMerge w:val="restart"/>
                  <w:tcBorders>
                    <w:top w:val="none" w:color="000000" w:sz="4"/>
                    <w:left w:val="single" w:color="000000" w:sz="4"/>
                    <w:bottom w:val="single" w:color="000000" w:sz="4"/>
                    <w:right w:val="single" w:color="000000" w:sz="4"/>
                  </w:tcBorders>
                  <w:shd w:fill="FFFFFF"/>
                  <w:vAlign w:val="top"/>
                </w:tcPr>
                <w:p>
                  <w:pPr>
                    <w:jc w:val="center"/>
                  </w:pPr>
                  <w:r>
                    <w:rPr>
                      <w:sz w:val="21"/>
                    </w:rPr>
                    <w:t>5</w:t>
                  </w:r>
                </w:p>
              </w:tc>
              <w:tc>
                <w:tcPr>
                  <w:tcW w:type="dxa" w:w="228"/>
                  <w:vMerge w:val="restart"/>
                  <w:tcBorders>
                    <w:top w:val="none" w:color="000000" w:sz="4"/>
                    <w:left w:val="single" w:color="000000" w:sz="4"/>
                    <w:bottom w:val="single" w:color="000000" w:sz="4"/>
                    <w:right w:val="single" w:color="000000" w:sz="4"/>
                  </w:tcBorders>
                  <w:shd w:fill="FFFFFF"/>
                  <w:vAlign w:val="top"/>
                </w:tcPr>
                <w:p>
                  <w:pPr>
                    <w:jc w:val="center"/>
                  </w:pPr>
                  <w:r>
                    <w:rPr>
                      <w:sz w:val="21"/>
                    </w:rPr>
                    <w:t>侧护板</w:t>
                  </w:r>
                </w:p>
              </w:tc>
              <w:tc>
                <w:tcPr>
                  <w:tcW w:type="dxa" w:w="384"/>
                  <w:tcBorders>
                    <w:top w:val="none" w:color="000000" w:sz="4"/>
                    <w:left w:val="single" w:color="000000" w:sz="4"/>
                    <w:bottom w:val="single" w:color="000000" w:sz="4"/>
                    <w:right w:val="single" w:color="000000" w:sz="4"/>
                  </w:tcBorders>
                  <w:shd w:fill="FFFFFF"/>
                  <w:vAlign w:val="top"/>
                </w:tcPr>
                <w:p>
                  <w:pPr>
                    <w:jc w:val="center"/>
                  </w:pPr>
                  <w:r>
                    <w:rPr>
                      <w:sz w:val="21"/>
                    </w:rPr>
                    <w:t>侧板</w:t>
                  </w:r>
                </w:p>
              </w:tc>
              <w:tc>
                <w:tcPr>
                  <w:tcW w:type="dxa" w:w="923"/>
                  <w:tcBorders>
                    <w:top w:val="none" w:color="000000" w:sz="4"/>
                    <w:left w:val="single" w:color="000000" w:sz="4"/>
                    <w:bottom w:val="single" w:color="000000" w:sz="4"/>
                    <w:right w:val="single" w:color="000000" w:sz="4"/>
                  </w:tcBorders>
                  <w:shd w:fill="FFFFFF"/>
                  <w:vAlign w:val="top"/>
                </w:tcPr>
                <w:p>
                  <w:pPr>
                    <w:jc w:val="center"/>
                  </w:pPr>
                  <w:r>
                    <w:rPr>
                      <w:sz w:val="21"/>
                    </w:rPr>
                    <w:t>δ≥</w:t>
                  </w:r>
                  <w:r>
                    <w:rPr>
                      <w:sz w:val="21"/>
                    </w:rPr>
                    <w:t>0.8</w:t>
                  </w:r>
                  <w:r>
                    <w:rPr>
                      <w:sz w:val="21"/>
                    </w:rPr>
                    <w:t>mm</w:t>
                  </w:r>
                </w:p>
              </w:tc>
              <w:tc>
                <w:tcPr>
                  <w:tcW w:type="dxa" w:w="829"/>
                  <w:vMerge w:val="restart"/>
                  <w:tcBorders>
                    <w:top w:val="none" w:color="000000" w:sz="4"/>
                    <w:left w:val="single" w:color="000000" w:sz="4"/>
                    <w:bottom w:val="single" w:color="000000" w:sz="4"/>
                    <w:right w:val="single" w:color="000000" w:sz="4"/>
                  </w:tcBorders>
                  <w:shd w:fill="FFFFFF"/>
                  <w:vAlign w:val="top"/>
                </w:tcPr>
                <w:p>
                  <w:pPr>
                    <w:jc w:val="center"/>
                  </w:pPr>
                  <w:r>
                    <w:rPr>
                      <w:sz w:val="21"/>
                    </w:rPr>
                    <w:t>优质冷轧钢板</w:t>
                  </w:r>
                </w:p>
              </w:tc>
              <w:tc>
                <w:tcPr>
                  <w:tcW w:type="dxa" w:w="1441"/>
                  <w:tcBorders>
                    <w:top w:val="none" w:color="000000" w:sz="4"/>
                    <w:left w:val="single" w:color="000000" w:sz="4"/>
                    <w:bottom w:val="single" w:color="000000" w:sz="4"/>
                    <w:right w:val="single" w:color="000000" w:sz="4"/>
                  </w:tcBorders>
                  <w:shd w:fill="FFFFFF"/>
                  <w:vAlign w:val="top"/>
                </w:tcPr>
                <w:p>
                  <w:pPr>
                    <w:jc w:val="center"/>
                  </w:pPr>
                  <w:r>
                    <w:rPr>
                      <w:sz w:val="21"/>
                    </w:rPr>
                    <w:t>GB/T4336-2016</w:t>
                  </w:r>
                </w:p>
              </w:tc>
              <w:tc>
                <w:tcPr>
                  <w:tcW w:type="dxa" w:w="1596"/>
                  <w:tcBorders>
                    <w:top w:val="none" w:color="000000" w:sz="4"/>
                    <w:left w:val="single" w:color="000000" w:sz="4"/>
                    <w:bottom w:val="single" w:color="000000" w:sz="4"/>
                    <w:right w:val="single" w:color="000000" w:sz="4"/>
                  </w:tcBorders>
                  <w:shd w:fill="FFFFFF"/>
                  <w:vAlign w:val="top"/>
                </w:tcPr>
                <w:p>
                  <w:pPr>
                    <w:jc w:val="center"/>
                  </w:pPr>
                  <w:r>
                    <w:rPr>
                      <w:sz w:val="21"/>
                    </w:rPr>
                    <w:t>人性化设计，整体美规，结构合理</w:t>
                  </w:r>
                  <w:r>
                    <w:rPr>
                      <w:sz w:val="21"/>
                    </w:rPr>
                    <w:t>。</w:t>
                  </w:r>
                </w:p>
              </w:tc>
            </w:tr>
            <w:tr>
              <w:tc>
                <w:tcPr>
                  <w:tcW w:type="dxa" w:w="197"/>
                  <w:vMerge/>
                  <w:tcBorders>
                    <w:top w:val="none" w:color="000000" w:sz="4"/>
                    <w:left w:val="single" w:color="000000" w:sz="4"/>
                    <w:bottom w:val="single" w:color="000000" w:sz="4"/>
                    <w:right w:val="single" w:color="000000" w:sz="4"/>
                  </w:tcBorders>
                </w:tcPr>
                <w:p/>
              </w:tc>
              <w:tc>
                <w:tcPr>
                  <w:tcW w:type="dxa" w:w="228"/>
                  <w:vMerge/>
                  <w:tcBorders>
                    <w:top w:val="none" w:color="000000" w:sz="4"/>
                    <w:left w:val="single" w:color="000000" w:sz="4"/>
                    <w:bottom w:val="single" w:color="000000" w:sz="4"/>
                    <w:right w:val="single" w:color="000000" w:sz="4"/>
                  </w:tcBorders>
                </w:tcPr>
                <w:p/>
              </w:tc>
              <w:tc>
                <w:tcPr>
                  <w:tcW w:type="dxa" w:w="384"/>
                  <w:tcBorders>
                    <w:top w:val="none" w:color="000000" w:sz="4"/>
                    <w:left w:val="single" w:color="000000" w:sz="4"/>
                    <w:bottom w:val="single" w:color="000000" w:sz="4"/>
                    <w:right w:val="single" w:color="000000" w:sz="4"/>
                  </w:tcBorders>
                  <w:shd w:fill="FFFFFF"/>
                  <w:vAlign w:val="top"/>
                </w:tcPr>
                <w:p>
                  <w:pPr>
                    <w:jc w:val="center"/>
                  </w:pPr>
                  <w:r>
                    <w:rPr>
                      <w:sz w:val="21"/>
                    </w:rPr>
                    <w:t>标插</w:t>
                  </w:r>
                </w:p>
              </w:tc>
              <w:tc>
                <w:tcPr>
                  <w:tcW w:type="dxa" w:w="923"/>
                  <w:tcBorders>
                    <w:top w:val="none" w:color="000000" w:sz="4"/>
                    <w:left w:val="single" w:color="000000" w:sz="4"/>
                    <w:bottom w:val="single" w:color="000000" w:sz="4"/>
                    <w:right w:val="single" w:color="000000" w:sz="4"/>
                  </w:tcBorders>
                  <w:shd w:fill="FFFFFF"/>
                  <w:vAlign w:val="top"/>
                </w:tcPr>
                <w:p>
                  <w:pPr>
                    <w:jc w:val="center"/>
                  </w:pPr>
                  <w:r>
                    <w:rPr>
                      <w:sz w:val="21"/>
                    </w:rPr>
                    <w:t>δ≥</w:t>
                  </w:r>
                  <w:r>
                    <w:rPr>
                      <w:sz w:val="21"/>
                    </w:rPr>
                    <w:t>1.0</w:t>
                  </w:r>
                  <w:r>
                    <w:rPr>
                      <w:sz w:val="21"/>
                    </w:rPr>
                    <w:t>mm</w:t>
                  </w:r>
                </w:p>
              </w:tc>
              <w:tc>
                <w:tcPr>
                  <w:tcW w:type="dxa" w:w="829"/>
                  <w:vMerge/>
                  <w:tcBorders>
                    <w:top w:val="none" w:color="000000" w:sz="4"/>
                    <w:left w:val="single" w:color="000000" w:sz="4"/>
                    <w:bottom w:val="single" w:color="000000" w:sz="4"/>
                    <w:right w:val="single" w:color="000000" w:sz="4"/>
                  </w:tcBorders>
                </w:tcPr>
                <w:p/>
              </w:tc>
              <w:tc>
                <w:tcPr>
                  <w:tcW w:type="dxa" w:w="1441"/>
                  <w:tcBorders>
                    <w:top w:val="none" w:color="000000" w:sz="4"/>
                    <w:left w:val="single" w:color="000000" w:sz="4"/>
                    <w:bottom w:val="single" w:color="000000" w:sz="4"/>
                    <w:right w:val="single" w:color="000000" w:sz="4"/>
                  </w:tcBorders>
                  <w:shd w:fill="FFFFFF"/>
                  <w:vAlign w:val="top"/>
                </w:tcPr>
                <w:p>
                  <w:pPr>
                    <w:jc w:val="center"/>
                  </w:pPr>
                  <w:r>
                    <w:rPr>
                      <w:sz w:val="21"/>
                    </w:rPr>
                    <w:t>GB/T12672-2009</w:t>
                  </w:r>
                </w:p>
              </w:tc>
              <w:tc>
                <w:tcPr>
                  <w:tcW w:type="dxa" w:w="1596"/>
                  <w:tcBorders>
                    <w:top w:val="none" w:color="000000" w:sz="4"/>
                    <w:left w:val="single" w:color="000000" w:sz="4"/>
                    <w:bottom w:val="single" w:color="000000" w:sz="4"/>
                    <w:right w:val="single" w:color="000000" w:sz="4"/>
                  </w:tcBorders>
                  <w:shd w:fill="FFFFFF"/>
                  <w:vAlign w:val="top"/>
                </w:tcPr>
                <w:p>
                  <w:pPr>
                    <w:jc w:val="center"/>
                  </w:pPr>
                  <w:r>
                    <w:rPr>
                      <w:sz w:val="21"/>
                    </w:rPr>
                    <w:t>侧板目录标插尺寸不小于</w:t>
                  </w:r>
                  <w:r>
                    <w:rPr>
                      <w:sz w:val="21"/>
                    </w:rPr>
                    <w:t>140*80mm，目录标插采用先 进设备成型，用铆钉、螺钉固定。</w:t>
                  </w:r>
                </w:p>
              </w:tc>
            </w:tr>
            <w:tr>
              <w:tc>
                <w:tcPr>
                  <w:tcW w:type="dxa" w:w="197"/>
                  <w:vMerge w:val="restart"/>
                  <w:tcBorders>
                    <w:top w:val="none" w:color="000000" w:sz="4"/>
                    <w:left w:val="single" w:color="000000" w:sz="4"/>
                    <w:bottom w:val="single" w:color="000000" w:sz="4"/>
                    <w:right w:val="single" w:color="000000" w:sz="4"/>
                  </w:tcBorders>
                  <w:shd w:fill="FFFFFF"/>
                  <w:vAlign w:val="top"/>
                </w:tcPr>
                <w:p>
                  <w:pPr>
                    <w:jc w:val="center"/>
                  </w:pPr>
                  <w:r>
                    <w:rPr>
                      <w:sz w:val="21"/>
                    </w:rPr>
                    <w:t>6</w:t>
                  </w:r>
                </w:p>
              </w:tc>
              <w:tc>
                <w:tcPr>
                  <w:tcW w:type="dxa" w:w="228"/>
                  <w:vMerge w:val="restart"/>
                  <w:tcBorders>
                    <w:top w:val="none" w:color="000000" w:sz="4"/>
                    <w:left w:val="single" w:color="000000" w:sz="4"/>
                    <w:bottom w:val="single" w:color="000000" w:sz="4"/>
                    <w:right w:val="single" w:color="000000" w:sz="4"/>
                  </w:tcBorders>
                  <w:shd w:fill="FFFFFF"/>
                  <w:vAlign w:val="top"/>
                </w:tcPr>
                <w:p>
                  <w:pPr>
                    <w:jc w:val="center"/>
                  </w:pPr>
                  <w:r>
                    <w:rPr>
                      <w:sz w:val="21"/>
                    </w:rPr>
                    <w:t>底架传动机构</w:t>
                  </w:r>
                </w:p>
              </w:tc>
              <w:tc>
                <w:tcPr>
                  <w:tcW w:type="dxa" w:w="384"/>
                  <w:tcBorders>
                    <w:top w:val="none" w:color="000000" w:sz="4"/>
                    <w:left w:val="single" w:color="000000" w:sz="4"/>
                    <w:bottom w:val="single" w:color="000000" w:sz="4"/>
                    <w:right w:val="single" w:color="000000" w:sz="4"/>
                  </w:tcBorders>
                  <w:shd w:fill="FFFFFF"/>
                  <w:vAlign w:val="top"/>
                </w:tcPr>
                <w:p>
                  <w:pPr>
                    <w:jc w:val="center"/>
                  </w:pPr>
                  <w:r>
                    <w:rPr>
                      <w:sz w:val="21"/>
                    </w:rPr>
                    <w:t>轴承</w:t>
                  </w:r>
                </w:p>
              </w:tc>
              <w:tc>
                <w:tcPr>
                  <w:tcW w:type="dxa" w:w="923"/>
                  <w:tcBorders>
                    <w:top w:val="none" w:color="000000" w:sz="4"/>
                    <w:left w:val="single" w:color="000000" w:sz="4"/>
                    <w:bottom w:val="single" w:color="000000" w:sz="4"/>
                    <w:right w:val="single" w:color="000000" w:sz="4"/>
                  </w:tcBorders>
                  <w:shd w:fill="FFFFFF"/>
                  <w:vAlign w:val="top"/>
                </w:tcPr>
                <w:p>
                  <w:pPr>
                    <w:jc w:val="center"/>
                  </w:pPr>
                  <w:r>
                    <w:rPr>
                      <w:sz w:val="21"/>
                    </w:rPr>
                    <w:t>P204</w:t>
                  </w:r>
                </w:p>
              </w:tc>
              <w:tc>
                <w:tcPr>
                  <w:tcW w:type="dxa" w:w="829"/>
                  <w:tcBorders>
                    <w:top w:val="none" w:color="000000" w:sz="4"/>
                    <w:left w:val="single" w:color="000000" w:sz="4"/>
                    <w:bottom w:val="single" w:color="000000" w:sz="4"/>
                    <w:right w:val="single" w:color="000000" w:sz="4"/>
                  </w:tcBorders>
                  <w:shd w:fill="FFFFFF"/>
                  <w:vAlign w:val="top"/>
                </w:tcPr>
                <w:p>
                  <w:pPr>
                    <w:jc w:val="center"/>
                  </w:pPr>
                  <w:r>
                    <w:rPr>
                      <w:sz w:val="21"/>
                    </w:rPr>
                    <w:t>E</w:t>
                  </w:r>
                  <w:r>
                    <w:rPr>
                      <w:sz w:val="21"/>
                    </w:rPr>
                    <w:t>级</w:t>
                  </w:r>
                </w:p>
              </w:tc>
              <w:tc>
                <w:tcPr>
                  <w:tcW w:type="dxa" w:w="1441"/>
                  <w:tcBorders>
                    <w:top w:val="none" w:color="000000" w:sz="4"/>
                    <w:left w:val="single" w:color="000000" w:sz="4"/>
                    <w:bottom w:val="single" w:color="000000" w:sz="4"/>
                    <w:right w:val="single" w:color="000000" w:sz="4"/>
                  </w:tcBorders>
                  <w:shd w:fill="FFFFFF"/>
                  <w:vAlign w:val="top"/>
                </w:tcPr>
                <w:p>
                  <w:pPr>
                    <w:jc w:val="center"/>
                  </w:pPr>
                  <w:r>
                    <w:rPr>
                      <w:sz w:val="21"/>
                    </w:rPr>
                    <w:t>GB/T230.1-2009</w:t>
                  </w:r>
                </w:p>
              </w:tc>
              <w:tc>
                <w:tcPr>
                  <w:tcW w:type="dxa" w:w="1596"/>
                  <w:vMerge w:val="restart"/>
                  <w:tcBorders>
                    <w:top w:val="none" w:color="000000" w:sz="4"/>
                    <w:left w:val="single" w:color="000000" w:sz="4"/>
                    <w:bottom w:val="single" w:color="000000" w:sz="4"/>
                    <w:right w:val="single" w:color="000000" w:sz="4"/>
                  </w:tcBorders>
                  <w:shd w:fill="FFFFFF"/>
                  <w:vAlign w:val="top"/>
                </w:tcPr>
                <w:p>
                  <w:pPr>
                    <w:jc w:val="center"/>
                  </w:pPr>
                  <w:r>
                    <w:rPr>
                      <w:sz w:val="21"/>
                    </w:rPr>
                    <w:t>底盘传动机构为三轴联动，中轴驱动两边行走轮</w:t>
                  </w:r>
                  <w:r>
                    <w:rPr>
                      <w:sz w:val="21"/>
                    </w:rPr>
                    <w:t>，</w:t>
                  </w:r>
                  <w:r>
                    <w:rPr>
                      <w:sz w:val="21"/>
                    </w:rPr>
                    <w:t>中轴和两边承重行走轮轴采用直径</w:t>
                  </w:r>
                  <w:r>
                    <w:rPr>
                      <w:sz w:val="21"/>
                    </w:rPr>
                    <w:t>21.5mm实心轴，所有传动采用机械装配原理，连接部分无焊接，确保整体传动无变形，保证传动顺畅轻快</w:t>
                  </w:r>
                </w:p>
              </w:tc>
            </w:tr>
            <w:tr>
              <w:tc>
                <w:tcPr>
                  <w:tcW w:type="dxa" w:w="197"/>
                  <w:vMerge/>
                  <w:tcBorders>
                    <w:top w:val="none" w:color="000000" w:sz="4"/>
                    <w:left w:val="single" w:color="000000" w:sz="4"/>
                    <w:bottom w:val="single" w:color="000000" w:sz="4"/>
                    <w:right w:val="single" w:color="000000" w:sz="4"/>
                  </w:tcBorders>
                </w:tcPr>
                <w:p/>
              </w:tc>
              <w:tc>
                <w:tcPr>
                  <w:tcW w:type="dxa" w:w="228"/>
                  <w:vMerge/>
                  <w:tcBorders>
                    <w:top w:val="none" w:color="000000" w:sz="4"/>
                    <w:left w:val="single" w:color="000000" w:sz="4"/>
                    <w:bottom w:val="single" w:color="000000" w:sz="4"/>
                    <w:right w:val="single" w:color="000000" w:sz="4"/>
                  </w:tcBorders>
                </w:tcPr>
                <w:p/>
              </w:tc>
              <w:tc>
                <w:tcPr>
                  <w:tcW w:type="dxa" w:w="384"/>
                  <w:tcBorders>
                    <w:top w:val="none" w:color="000000" w:sz="4"/>
                    <w:left w:val="single" w:color="000000" w:sz="4"/>
                    <w:bottom w:val="single" w:color="000000" w:sz="4"/>
                    <w:right w:val="single" w:color="000000" w:sz="4"/>
                  </w:tcBorders>
                  <w:shd w:fill="FFFFFF"/>
                  <w:vAlign w:val="top"/>
                </w:tcPr>
                <w:p>
                  <w:pPr>
                    <w:jc w:val="center"/>
                  </w:pPr>
                  <w:r>
                    <w:rPr>
                      <w:sz w:val="21"/>
                    </w:rPr>
                    <w:t>实心轴</w:t>
                  </w:r>
                </w:p>
              </w:tc>
              <w:tc>
                <w:tcPr>
                  <w:tcW w:type="dxa" w:w="923"/>
                  <w:tcBorders>
                    <w:top w:val="none" w:color="000000" w:sz="4"/>
                    <w:left w:val="single" w:color="000000" w:sz="4"/>
                    <w:bottom w:val="single" w:color="000000" w:sz="4"/>
                    <w:right w:val="single" w:color="000000" w:sz="4"/>
                  </w:tcBorders>
                  <w:shd w:fill="FFFFFF"/>
                  <w:vAlign w:val="top"/>
                </w:tcPr>
                <w:p>
                  <w:pPr>
                    <w:jc w:val="center"/>
                  </w:pPr>
                  <w:r>
                    <w:rPr>
                      <w:sz w:val="21"/>
                    </w:rPr>
                    <w:t>φ</w:t>
                  </w:r>
                  <w:r>
                    <w:rPr>
                      <w:sz w:val="21"/>
                    </w:rPr>
                    <w:t>21.5</w:t>
                  </w:r>
                </w:p>
              </w:tc>
              <w:tc>
                <w:tcPr>
                  <w:tcW w:type="dxa" w:w="829"/>
                  <w:tcBorders>
                    <w:top w:val="none" w:color="000000" w:sz="4"/>
                    <w:left w:val="single" w:color="000000" w:sz="4"/>
                    <w:bottom w:val="single" w:color="000000" w:sz="4"/>
                    <w:right w:val="single" w:color="000000" w:sz="4"/>
                  </w:tcBorders>
                  <w:shd w:fill="FFFFFF"/>
                  <w:vAlign w:val="top"/>
                </w:tcPr>
                <w:p>
                  <w:pPr>
                    <w:jc w:val="center"/>
                  </w:pPr>
                  <w:r>
                    <w:rPr>
                      <w:sz w:val="21"/>
                    </w:rPr>
                    <w:t>优质</w:t>
                  </w:r>
                  <w:r>
                    <w:rPr>
                      <w:sz w:val="21"/>
                    </w:rPr>
                    <w:t>45#钢</w:t>
                  </w:r>
                </w:p>
              </w:tc>
              <w:tc>
                <w:tcPr>
                  <w:tcW w:type="dxa" w:w="1441"/>
                  <w:tcBorders>
                    <w:top w:val="none" w:color="000000" w:sz="4"/>
                    <w:left w:val="single" w:color="000000" w:sz="4"/>
                    <w:bottom w:val="single" w:color="000000" w:sz="4"/>
                    <w:right w:val="single" w:color="000000" w:sz="4"/>
                  </w:tcBorders>
                  <w:shd w:fill="FFFFFF"/>
                  <w:vAlign w:val="top"/>
                </w:tcPr>
                <w:p>
                  <w:pPr>
                    <w:jc w:val="center"/>
                  </w:pPr>
                  <w:r>
                    <w:rPr>
                      <w:sz w:val="21"/>
                    </w:rPr>
                    <w:t>GB/T3177-2009</w:t>
                  </w:r>
                </w:p>
              </w:tc>
            </w:tr>
            <w:tr>
              <w:tc>
                <w:tcPr>
                  <w:tcW w:type="dxa" w:w="197"/>
                  <w:vMerge/>
                  <w:tcBorders>
                    <w:top w:val="none" w:color="000000" w:sz="4"/>
                    <w:left w:val="single" w:color="000000" w:sz="4"/>
                    <w:bottom w:val="single" w:color="000000" w:sz="4"/>
                    <w:right w:val="single" w:color="000000" w:sz="4"/>
                  </w:tcBorders>
                </w:tcPr>
                <w:p/>
              </w:tc>
              <w:tc>
                <w:tcPr>
                  <w:tcW w:type="dxa" w:w="228"/>
                  <w:vMerge/>
                  <w:tcBorders>
                    <w:top w:val="none" w:color="000000" w:sz="4"/>
                    <w:left w:val="single" w:color="000000" w:sz="4"/>
                    <w:bottom w:val="single" w:color="000000" w:sz="4"/>
                    <w:right w:val="single" w:color="000000" w:sz="4"/>
                  </w:tcBorders>
                </w:tcPr>
                <w:p/>
              </w:tc>
              <w:tc>
                <w:tcPr>
                  <w:tcW w:type="dxa" w:w="384"/>
                  <w:tcBorders>
                    <w:top w:val="none" w:color="000000" w:sz="4"/>
                    <w:left w:val="single" w:color="000000" w:sz="4"/>
                    <w:bottom w:val="single" w:color="000000" w:sz="4"/>
                    <w:right w:val="single" w:color="000000" w:sz="4"/>
                  </w:tcBorders>
                  <w:shd w:fill="FFFFFF"/>
                  <w:vAlign w:val="top"/>
                </w:tcPr>
                <w:p>
                  <w:pPr>
                    <w:jc w:val="center"/>
                  </w:pPr>
                  <w:r>
                    <w:rPr>
                      <w:sz w:val="21"/>
                    </w:rPr>
                    <w:t>连接钢管</w:t>
                  </w:r>
                </w:p>
              </w:tc>
              <w:tc>
                <w:tcPr>
                  <w:tcW w:type="dxa" w:w="923"/>
                  <w:tcBorders>
                    <w:top w:val="none" w:color="000000" w:sz="4"/>
                    <w:left w:val="single" w:color="000000" w:sz="4"/>
                    <w:bottom w:val="single" w:color="000000" w:sz="4"/>
                    <w:right w:val="single" w:color="000000" w:sz="4"/>
                  </w:tcBorders>
                  <w:shd w:fill="FFFFFF"/>
                  <w:vAlign w:val="top"/>
                </w:tcPr>
                <w:p>
                  <w:pPr>
                    <w:jc w:val="center"/>
                  </w:pPr>
                  <w:r>
                    <w:rPr>
                      <w:sz w:val="21"/>
                    </w:rPr>
                    <w:t>027</w:t>
                  </w:r>
                </w:p>
              </w:tc>
              <w:tc>
                <w:tcPr>
                  <w:tcW w:type="dxa" w:w="829"/>
                  <w:tcBorders>
                    <w:top w:val="none" w:color="000000" w:sz="4"/>
                    <w:left w:val="single" w:color="000000" w:sz="4"/>
                    <w:bottom w:val="single" w:color="000000" w:sz="4"/>
                    <w:right w:val="single" w:color="000000" w:sz="4"/>
                  </w:tcBorders>
                  <w:shd w:fill="FFFFFF"/>
                  <w:vAlign w:val="top"/>
                </w:tcPr>
                <w:p>
                  <w:pPr>
                    <w:jc w:val="center"/>
                  </w:pPr>
                  <w:r>
                    <w:rPr>
                      <w:sz w:val="21"/>
                    </w:rPr>
                    <w:t>优质无缝钢管</w:t>
                  </w:r>
                </w:p>
              </w:tc>
              <w:tc>
                <w:tcPr>
                  <w:tcW w:type="dxa" w:w="1441"/>
                  <w:tcBorders>
                    <w:top w:val="none" w:color="000000" w:sz="4"/>
                    <w:left w:val="single" w:color="000000" w:sz="4"/>
                    <w:bottom w:val="single" w:color="000000" w:sz="4"/>
                    <w:right w:val="single" w:color="000000" w:sz="4"/>
                  </w:tcBorders>
                  <w:shd w:fill="FFFFFF"/>
                  <w:vAlign w:val="top"/>
                </w:tcPr>
                <w:p>
                  <w:pPr>
                    <w:jc w:val="center"/>
                  </w:pPr>
                  <w:r>
                    <w:rPr>
                      <w:sz w:val="21"/>
                    </w:rPr>
                    <w:t>GB/T3177-2009</w:t>
                  </w:r>
                </w:p>
              </w:tc>
            </w:tr>
            <w:tr>
              <w:tc>
                <w:tcPr>
                  <w:tcW w:type="dxa" w:w="197"/>
                  <w:vMerge/>
                  <w:tcBorders>
                    <w:top w:val="none" w:color="000000" w:sz="4"/>
                    <w:left w:val="single" w:color="000000" w:sz="4"/>
                    <w:bottom w:val="single" w:color="000000" w:sz="4"/>
                    <w:right w:val="single" w:color="000000" w:sz="4"/>
                  </w:tcBorders>
                </w:tcPr>
                <w:p/>
              </w:tc>
              <w:tc>
                <w:tcPr>
                  <w:tcW w:type="dxa" w:w="228"/>
                  <w:vMerge/>
                  <w:tcBorders>
                    <w:top w:val="none" w:color="000000" w:sz="4"/>
                    <w:left w:val="single" w:color="000000" w:sz="4"/>
                    <w:bottom w:val="single" w:color="000000" w:sz="4"/>
                    <w:right w:val="single" w:color="000000" w:sz="4"/>
                  </w:tcBorders>
                </w:tcPr>
                <w:p/>
              </w:tc>
              <w:tc>
                <w:tcPr>
                  <w:tcW w:type="dxa" w:w="384"/>
                  <w:tcBorders>
                    <w:top w:val="none" w:color="000000" w:sz="4"/>
                    <w:left w:val="single" w:color="000000" w:sz="4"/>
                    <w:bottom w:val="single" w:color="000000" w:sz="4"/>
                    <w:right w:val="single" w:color="000000" w:sz="4"/>
                  </w:tcBorders>
                  <w:shd w:fill="FFFFFF"/>
                  <w:vAlign w:val="top"/>
                </w:tcPr>
                <w:p>
                  <w:pPr>
                    <w:jc w:val="center"/>
                  </w:pPr>
                  <w:r>
                    <w:rPr>
                      <w:sz w:val="21"/>
                    </w:rPr>
                    <w:t>铁滚轮</w:t>
                  </w:r>
                </w:p>
              </w:tc>
              <w:tc>
                <w:tcPr>
                  <w:tcW w:type="dxa" w:w="923"/>
                  <w:tcBorders>
                    <w:top w:val="none" w:color="000000" w:sz="4"/>
                    <w:left w:val="single" w:color="000000" w:sz="4"/>
                    <w:bottom w:val="single" w:color="000000" w:sz="4"/>
                    <w:right w:val="single" w:color="000000" w:sz="4"/>
                  </w:tcBorders>
                  <w:shd w:fill="FFFFFF"/>
                  <w:vAlign w:val="top"/>
                </w:tcPr>
                <w:p>
                  <w:pPr>
                    <w:jc w:val="center"/>
                  </w:pPr>
                  <w:r>
                    <w:rPr>
                      <w:sz w:val="21"/>
                    </w:rPr>
                    <w:t>φ</w:t>
                  </w:r>
                  <w:r>
                    <w:rPr>
                      <w:sz w:val="21"/>
                    </w:rPr>
                    <w:t>100</w:t>
                  </w:r>
                </w:p>
              </w:tc>
              <w:tc>
                <w:tcPr>
                  <w:tcW w:type="dxa" w:w="829"/>
                  <w:tcBorders>
                    <w:top w:val="none" w:color="000000" w:sz="4"/>
                    <w:left w:val="single" w:color="000000" w:sz="4"/>
                    <w:bottom w:val="single" w:color="000000" w:sz="4"/>
                    <w:right w:val="single" w:color="000000" w:sz="4"/>
                  </w:tcBorders>
                  <w:shd w:fill="FFFFFF"/>
                  <w:vAlign w:val="top"/>
                </w:tcPr>
                <w:p>
                  <w:pPr>
                    <w:jc w:val="center"/>
                  </w:pPr>
                </w:p>
              </w:tc>
              <w:tc>
                <w:tcPr>
                  <w:tcW w:type="dxa" w:w="1441"/>
                  <w:tcBorders>
                    <w:top w:val="none" w:color="000000" w:sz="4"/>
                    <w:left w:val="single" w:color="000000" w:sz="4"/>
                    <w:bottom w:val="single" w:color="000000" w:sz="4"/>
                    <w:right w:val="single" w:color="000000" w:sz="4"/>
                  </w:tcBorders>
                  <w:shd w:fill="FFFFFF"/>
                  <w:vAlign w:val="top"/>
                </w:tcPr>
                <w:p>
                  <w:pPr>
                    <w:jc w:val="center"/>
                  </w:pPr>
                  <w:r>
                    <w:rPr>
                      <w:sz w:val="21"/>
                    </w:rPr>
                    <w:t>GB/T7974-1999</w:t>
                  </w:r>
                </w:p>
              </w:tc>
            </w:tr>
            <w:tr>
              <w:tc>
                <w:tcPr>
                  <w:tcW w:type="dxa" w:w="197"/>
                  <w:vMerge/>
                  <w:tcBorders>
                    <w:top w:val="none" w:color="000000" w:sz="4"/>
                    <w:left w:val="single" w:color="000000" w:sz="4"/>
                    <w:bottom w:val="single" w:color="000000" w:sz="4"/>
                    <w:right w:val="single" w:color="000000" w:sz="4"/>
                  </w:tcBorders>
                </w:tcPr>
                <w:p/>
              </w:tc>
              <w:tc>
                <w:tcPr>
                  <w:tcW w:type="dxa" w:w="228"/>
                  <w:vMerge/>
                  <w:tcBorders>
                    <w:top w:val="none" w:color="000000" w:sz="4"/>
                    <w:left w:val="single" w:color="000000" w:sz="4"/>
                    <w:bottom w:val="single" w:color="000000" w:sz="4"/>
                    <w:right w:val="single" w:color="000000" w:sz="4"/>
                  </w:tcBorders>
                </w:tcPr>
                <w:p/>
              </w:tc>
              <w:tc>
                <w:tcPr>
                  <w:tcW w:type="dxa" w:w="384"/>
                  <w:tcBorders>
                    <w:top w:val="none" w:color="000000" w:sz="4"/>
                    <w:left w:val="single" w:color="000000" w:sz="4"/>
                    <w:bottom w:val="single" w:color="000000" w:sz="4"/>
                    <w:right w:val="single" w:color="000000" w:sz="4"/>
                  </w:tcBorders>
                  <w:shd w:fill="FFFFFF"/>
                  <w:vAlign w:val="top"/>
                </w:tcPr>
                <w:p>
                  <w:pPr>
                    <w:jc w:val="center"/>
                  </w:pPr>
                  <w:r>
                    <w:rPr>
                      <w:sz w:val="21"/>
                    </w:rPr>
                    <w:t>链轮</w:t>
                  </w:r>
                </w:p>
              </w:tc>
              <w:tc>
                <w:tcPr>
                  <w:tcW w:type="dxa" w:w="923"/>
                  <w:tcBorders>
                    <w:top w:val="none" w:color="000000" w:sz="4"/>
                    <w:left w:val="single" w:color="000000" w:sz="4"/>
                    <w:bottom w:val="single" w:color="000000" w:sz="4"/>
                    <w:right w:val="single" w:color="000000" w:sz="4"/>
                  </w:tcBorders>
                  <w:shd w:fill="FFFFFF"/>
                  <w:vAlign w:val="top"/>
                </w:tcPr>
                <w:p>
                  <w:pPr>
                    <w:jc w:val="center"/>
                  </w:pPr>
                </w:p>
              </w:tc>
              <w:tc>
                <w:tcPr>
                  <w:tcW w:type="dxa" w:w="829"/>
                  <w:tcBorders>
                    <w:top w:val="none" w:color="000000" w:sz="4"/>
                    <w:left w:val="single" w:color="000000" w:sz="4"/>
                    <w:bottom w:val="single" w:color="000000" w:sz="4"/>
                    <w:right w:val="single" w:color="000000" w:sz="4"/>
                  </w:tcBorders>
                  <w:shd w:fill="FFFFFF"/>
                  <w:vAlign w:val="top"/>
                </w:tcPr>
                <w:p>
                  <w:pPr>
                    <w:jc w:val="center"/>
                  </w:pPr>
                  <w:r>
                    <w:rPr>
                      <w:sz w:val="21"/>
                    </w:rPr>
                    <w:t>滚轮精制</w:t>
                  </w:r>
                </w:p>
              </w:tc>
              <w:tc>
                <w:tcPr>
                  <w:tcW w:type="dxa" w:w="1441"/>
                  <w:tcBorders>
                    <w:top w:val="none" w:color="000000" w:sz="4"/>
                    <w:left w:val="single" w:color="000000" w:sz="4"/>
                    <w:bottom w:val="single" w:color="000000" w:sz="4"/>
                    <w:right w:val="single" w:color="000000" w:sz="4"/>
                  </w:tcBorders>
                  <w:shd w:fill="FFFFFF"/>
                  <w:vAlign w:val="top"/>
                </w:tcPr>
                <w:p>
                  <w:pPr>
                    <w:jc w:val="center"/>
                  </w:pPr>
                  <w:r>
                    <w:rPr>
                      <w:sz w:val="21"/>
                    </w:rPr>
                    <w:t>GB1135-88</w:t>
                  </w:r>
                </w:p>
              </w:tc>
            </w:tr>
            <w:tr>
              <w:tc>
                <w:tcPr>
                  <w:tcW w:type="dxa" w:w="197"/>
                  <w:vMerge w:val="restart"/>
                  <w:tcBorders>
                    <w:top w:val="none" w:color="000000" w:sz="4"/>
                    <w:left w:val="single" w:color="000000" w:sz="4"/>
                    <w:bottom w:val="single" w:color="000000" w:sz="4"/>
                    <w:right w:val="single" w:color="000000" w:sz="4"/>
                  </w:tcBorders>
                  <w:shd w:fill="FFFFFF"/>
                  <w:vAlign w:val="top"/>
                </w:tcPr>
                <w:p>
                  <w:pPr>
                    <w:jc w:val="center"/>
                  </w:pPr>
                  <w:r>
                    <w:rPr>
                      <w:sz w:val="21"/>
                    </w:rPr>
                    <w:t>7</w:t>
                  </w:r>
                </w:p>
              </w:tc>
              <w:tc>
                <w:tcPr>
                  <w:tcW w:type="dxa" w:w="228"/>
                  <w:vMerge w:val="restart"/>
                  <w:tcBorders>
                    <w:top w:val="none" w:color="000000" w:sz="4"/>
                    <w:left w:val="single" w:color="000000" w:sz="4"/>
                    <w:bottom w:val="single" w:color="000000" w:sz="4"/>
                    <w:right w:val="single" w:color="000000" w:sz="4"/>
                  </w:tcBorders>
                  <w:shd w:fill="FFFFFF"/>
                  <w:vAlign w:val="top"/>
                </w:tcPr>
                <w:p>
                  <w:pPr>
                    <w:jc w:val="center"/>
                  </w:pPr>
                  <w:r>
                    <w:rPr>
                      <w:sz w:val="21"/>
                    </w:rPr>
                    <w:t>传动机构</w:t>
                  </w:r>
                </w:p>
              </w:tc>
              <w:tc>
                <w:tcPr>
                  <w:tcW w:type="dxa" w:w="384"/>
                  <w:tcBorders>
                    <w:top w:val="none" w:color="000000" w:sz="4"/>
                    <w:left w:val="single" w:color="000000" w:sz="4"/>
                    <w:bottom w:val="single" w:color="000000" w:sz="4"/>
                    <w:right w:val="single" w:color="000000" w:sz="4"/>
                  </w:tcBorders>
                  <w:shd w:fill="FFFFFF"/>
                  <w:vAlign w:val="top"/>
                </w:tcPr>
                <w:p>
                  <w:pPr>
                    <w:jc w:val="center"/>
                  </w:pPr>
                  <w:r>
                    <w:rPr>
                      <w:sz w:val="21"/>
                    </w:rPr>
                    <w:t>摩托车链条</w:t>
                  </w:r>
                </w:p>
              </w:tc>
              <w:tc>
                <w:tcPr>
                  <w:tcW w:type="dxa" w:w="923"/>
                  <w:tcBorders>
                    <w:top w:val="none" w:color="000000" w:sz="4"/>
                    <w:left w:val="single" w:color="000000" w:sz="4"/>
                    <w:bottom w:val="single" w:color="000000" w:sz="4"/>
                    <w:right w:val="single" w:color="000000" w:sz="4"/>
                  </w:tcBorders>
                  <w:shd w:fill="FFFFFF"/>
                  <w:vAlign w:val="top"/>
                </w:tcPr>
                <w:p>
                  <w:pPr>
                    <w:jc w:val="center"/>
                  </w:pPr>
                </w:p>
              </w:tc>
              <w:tc>
                <w:tcPr>
                  <w:tcW w:type="dxa" w:w="829"/>
                  <w:tcBorders>
                    <w:top w:val="none" w:color="000000" w:sz="4"/>
                    <w:left w:val="single" w:color="000000" w:sz="4"/>
                    <w:bottom w:val="single" w:color="000000" w:sz="4"/>
                    <w:right w:val="single" w:color="000000" w:sz="4"/>
                  </w:tcBorders>
                  <w:shd w:fill="FFFFFF"/>
                  <w:vAlign w:val="top"/>
                </w:tcPr>
                <w:p>
                  <w:pPr>
                    <w:jc w:val="center"/>
                  </w:pPr>
                  <w:r>
                    <w:rPr>
                      <w:sz w:val="21"/>
                    </w:rPr>
                    <w:t>08.5</w:t>
                  </w:r>
                  <w:r>
                    <w:rPr>
                      <w:sz w:val="21"/>
                    </w:rPr>
                    <w:t>节距</w:t>
                  </w:r>
                  <w:r>
                    <w:rPr>
                      <w:sz w:val="21"/>
                    </w:rPr>
                    <w:t>12</w:t>
                  </w:r>
                  <w:r>
                    <w:rPr>
                      <w:sz w:val="21"/>
                    </w:rPr>
                    <w:t>.</w:t>
                  </w:r>
                  <w:r>
                    <w:rPr>
                      <w:sz w:val="21"/>
                    </w:rPr>
                    <w:t>7</w:t>
                  </w:r>
                </w:p>
              </w:tc>
              <w:tc>
                <w:tcPr>
                  <w:tcW w:type="dxa" w:w="1441"/>
                  <w:tcBorders>
                    <w:top w:val="none" w:color="000000" w:sz="4"/>
                    <w:left w:val="single" w:color="000000" w:sz="4"/>
                    <w:bottom w:val="single" w:color="000000" w:sz="4"/>
                    <w:right w:val="single" w:color="000000" w:sz="4"/>
                  </w:tcBorders>
                  <w:shd w:fill="FFFFFF"/>
                  <w:vAlign w:val="top"/>
                </w:tcPr>
                <w:p>
                  <w:pPr>
                    <w:jc w:val="center"/>
                  </w:pPr>
                  <w:r>
                    <w:rPr>
                      <w:sz w:val="21"/>
                    </w:rPr>
                    <w:t>GB1244-85</w:t>
                  </w:r>
                </w:p>
              </w:tc>
              <w:tc>
                <w:tcPr>
                  <w:tcW w:type="dxa" w:w="1596"/>
                  <w:vMerge w:val="restart"/>
                  <w:tcBorders>
                    <w:top w:val="none" w:color="000000" w:sz="4"/>
                    <w:left w:val="single" w:color="000000" w:sz="4"/>
                    <w:bottom w:val="single" w:color="000000" w:sz="4"/>
                    <w:right w:val="single" w:color="000000" w:sz="4"/>
                  </w:tcBorders>
                  <w:shd w:fill="FFFFFF"/>
                  <w:vAlign w:val="top"/>
                </w:tcPr>
                <w:p>
                  <w:pPr>
                    <w:jc w:val="center"/>
                  </w:pPr>
                </w:p>
                <w:p>
                  <w:pPr>
                    <w:jc w:val="center"/>
                  </w:pPr>
                  <w:r>
                    <w:rPr>
                      <w:sz w:val="21"/>
                    </w:rPr>
                    <w:t>手柄可折叠，造型美观大方，手感舒适，摇动轻巧。</w:t>
                  </w:r>
                </w:p>
              </w:tc>
            </w:tr>
            <w:tr>
              <w:tc>
                <w:tcPr>
                  <w:tcW w:type="dxa" w:w="197"/>
                  <w:vMerge/>
                  <w:tcBorders>
                    <w:top w:val="none" w:color="000000" w:sz="4"/>
                    <w:left w:val="single" w:color="000000" w:sz="4"/>
                    <w:bottom w:val="single" w:color="000000" w:sz="4"/>
                    <w:right w:val="single" w:color="000000" w:sz="4"/>
                  </w:tcBorders>
                </w:tcPr>
                <w:p/>
              </w:tc>
              <w:tc>
                <w:tcPr>
                  <w:tcW w:type="dxa" w:w="228"/>
                  <w:vMerge/>
                  <w:tcBorders>
                    <w:top w:val="none" w:color="000000" w:sz="4"/>
                    <w:left w:val="single" w:color="000000" w:sz="4"/>
                    <w:bottom w:val="single" w:color="000000" w:sz="4"/>
                    <w:right w:val="single" w:color="000000" w:sz="4"/>
                  </w:tcBorders>
                </w:tcPr>
                <w:p/>
              </w:tc>
              <w:tc>
                <w:tcPr>
                  <w:tcW w:type="dxa" w:w="384"/>
                  <w:tcBorders>
                    <w:top w:val="none" w:color="000000" w:sz="4"/>
                    <w:left w:val="single" w:color="000000" w:sz="4"/>
                    <w:bottom w:val="single" w:color="000000" w:sz="4"/>
                    <w:right w:val="single" w:color="000000" w:sz="4"/>
                  </w:tcBorders>
                  <w:shd w:fill="FFFFFF"/>
                  <w:vAlign w:val="top"/>
                </w:tcPr>
                <w:p>
                  <w:pPr>
                    <w:jc w:val="center"/>
                  </w:pPr>
                  <w:r>
                    <w:rPr>
                      <w:sz w:val="21"/>
                    </w:rPr>
                    <w:t>摇手体总承</w:t>
                  </w:r>
                </w:p>
              </w:tc>
              <w:tc>
                <w:tcPr>
                  <w:tcW w:type="dxa" w:w="923"/>
                  <w:tcBorders>
                    <w:top w:val="none" w:color="000000" w:sz="4"/>
                    <w:left w:val="single" w:color="000000" w:sz="4"/>
                    <w:bottom w:val="single" w:color="000000" w:sz="4"/>
                    <w:right w:val="single" w:color="000000" w:sz="4"/>
                  </w:tcBorders>
                  <w:shd w:fill="FFFFFF"/>
                  <w:vAlign w:val="top"/>
                </w:tcPr>
                <w:p>
                  <w:pPr>
                    <w:jc w:val="center"/>
                  </w:pPr>
                </w:p>
              </w:tc>
              <w:tc>
                <w:tcPr>
                  <w:tcW w:type="dxa" w:w="829"/>
                  <w:tcBorders>
                    <w:top w:val="none" w:color="000000" w:sz="4"/>
                    <w:left w:val="single" w:color="000000" w:sz="4"/>
                    <w:bottom w:val="single" w:color="000000" w:sz="4"/>
                    <w:right w:val="single" w:color="000000" w:sz="4"/>
                  </w:tcBorders>
                  <w:shd w:fill="FFFFFF"/>
                  <w:vAlign w:val="top"/>
                </w:tcPr>
                <w:p>
                  <w:pPr>
                    <w:jc w:val="center"/>
                  </w:pPr>
                  <w:r>
                    <w:rPr>
                      <w:sz w:val="21"/>
                    </w:rPr>
                    <w:t>双向超越离合器结构</w:t>
                  </w:r>
                </w:p>
              </w:tc>
              <w:tc>
                <w:tcPr>
                  <w:tcW w:type="dxa" w:w="1441"/>
                  <w:tcBorders>
                    <w:top w:val="none" w:color="000000" w:sz="4"/>
                    <w:left w:val="single" w:color="000000" w:sz="4"/>
                    <w:bottom w:val="single" w:color="000000" w:sz="4"/>
                    <w:right w:val="single" w:color="000000" w:sz="4"/>
                  </w:tcBorders>
                  <w:shd w:fill="FFFFFF"/>
                  <w:vAlign w:val="top"/>
                </w:tcPr>
                <w:p>
                  <w:pPr>
                    <w:jc w:val="center"/>
                  </w:pPr>
                  <w:r>
                    <w:rPr>
                      <w:sz w:val="21"/>
                    </w:rPr>
                    <w:t>国家标准</w:t>
                  </w:r>
                </w:p>
              </w:tc>
            </w:tr>
            <w:tr>
              <w:tc>
                <w:tcPr>
                  <w:tcW w:type="dxa" w:w="197"/>
                  <w:vMerge/>
                  <w:tcBorders>
                    <w:top w:val="none" w:color="000000" w:sz="4"/>
                    <w:left w:val="single" w:color="000000" w:sz="4"/>
                    <w:bottom w:val="single" w:color="000000" w:sz="4"/>
                    <w:right w:val="single" w:color="000000" w:sz="4"/>
                  </w:tcBorders>
                </w:tcPr>
                <w:p/>
              </w:tc>
              <w:tc>
                <w:tcPr>
                  <w:tcW w:type="dxa" w:w="228"/>
                  <w:vMerge/>
                  <w:tcBorders>
                    <w:top w:val="none" w:color="000000" w:sz="4"/>
                    <w:left w:val="single" w:color="000000" w:sz="4"/>
                    <w:bottom w:val="single" w:color="000000" w:sz="4"/>
                    <w:right w:val="single" w:color="000000" w:sz="4"/>
                  </w:tcBorders>
                </w:tcPr>
                <w:p/>
              </w:tc>
              <w:tc>
                <w:tcPr>
                  <w:tcW w:type="dxa" w:w="384"/>
                  <w:tcBorders>
                    <w:top w:val="none" w:color="000000" w:sz="4"/>
                    <w:left w:val="single" w:color="000000" w:sz="4"/>
                    <w:bottom w:val="single" w:color="000000" w:sz="4"/>
                    <w:right w:val="single" w:color="000000" w:sz="4"/>
                  </w:tcBorders>
                  <w:shd w:fill="FFFFFF"/>
                  <w:vAlign w:val="top"/>
                </w:tcPr>
                <w:p>
                  <w:pPr>
                    <w:jc w:val="center"/>
                  </w:pPr>
                  <w:r>
                    <w:rPr>
                      <w:sz w:val="21"/>
                    </w:rPr>
                    <w:t>中间列制动装置</w:t>
                  </w:r>
                </w:p>
              </w:tc>
              <w:tc>
                <w:tcPr>
                  <w:tcW w:type="dxa" w:w="923"/>
                  <w:tcBorders>
                    <w:top w:val="none" w:color="000000" w:sz="4"/>
                    <w:left w:val="single" w:color="000000" w:sz="4"/>
                    <w:bottom w:val="single" w:color="000000" w:sz="4"/>
                    <w:right w:val="single" w:color="000000" w:sz="4"/>
                  </w:tcBorders>
                  <w:shd w:fill="FFFFFF"/>
                  <w:vAlign w:val="top"/>
                </w:tcPr>
                <w:p>
                  <w:pPr>
                    <w:jc w:val="center"/>
                  </w:pPr>
                  <w:r>
                    <w:rPr>
                      <w:sz w:val="21"/>
                    </w:rPr>
                    <w:t>808锁</w:t>
                  </w:r>
                </w:p>
              </w:tc>
              <w:tc>
                <w:tcPr>
                  <w:tcW w:type="dxa" w:w="829"/>
                  <w:tcBorders>
                    <w:top w:val="none" w:color="000000" w:sz="4"/>
                    <w:left w:val="single" w:color="000000" w:sz="4"/>
                    <w:bottom w:val="single" w:color="000000" w:sz="4"/>
                    <w:right w:val="single" w:color="000000" w:sz="4"/>
                  </w:tcBorders>
                  <w:shd w:fill="FFFFFF"/>
                  <w:vAlign w:val="top"/>
                </w:tcPr>
                <w:p>
                  <w:pPr>
                    <w:jc w:val="center"/>
                  </w:pPr>
                  <w:r>
                    <w:rPr>
                      <w:sz w:val="21"/>
                    </w:rPr>
                    <w:t>/</w:t>
                  </w:r>
                </w:p>
              </w:tc>
              <w:tc>
                <w:tcPr>
                  <w:tcW w:type="dxa" w:w="1441"/>
                  <w:tcBorders>
                    <w:top w:val="none" w:color="000000" w:sz="4"/>
                    <w:left w:val="single" w:color="000000" w:sz="4"/>
                    <w:bottom w:val="single" w:color="000000" w:sz="4"/>
                    <w:right w:val="single" w:color="000000" w:sz="4"/>
                  </w:tcBorders>
                  <w:shd w:fill="FFFFFF"/>
                  <w:vAlign w:val="top"/>
                </w:tcPr>
                <w:p>
                  <w:pPr>
                    <w:jc w:val="center"/>
                  </w:pPr>
                  <w:r>
                    <w:rPr>
                      <w:sz w:val="21"/>
                    </w:rPr>
                    <w:t>GB/T4336-2016</w:t>
                  </w:r>
                </w:p>
              </w:tc>
            </w:tr>
            <w:tr>
              <w:tc>
                <w:tcPr>
                  <w:tcW w:type="dxa" w:w="197"/>
                  <w:tcBorders>
                    <w:top w:val="none" w:color="000000" w:sz="4"/>
                    <w:left w:val="single" w:color="000000" w:sz="4"/>
                    <w:bottom w:val="single" w:color="000000" w:sz="4"/>
                    <w:right w:val="single" w:color="000000" w:sz="4"/>
                  </w:tcBorders>
                  <w:shd w:fill="FFFFFF"/>
                  <w:vAlign w:val="top"/>
                </w:tcPr>
                <w:p>
                  <w:pPr>
                    <w:jc w:val="center"/>
                  </w:pPr>
                  <w:r>
                    <w:rPr>
                      <w:sz w:val="21"/>
                    </w:rPr>
                    <w:t>8</w:t>
                  </w:r>
                </w:p>
              </w:tc>
              <w:tc>
                <w:tcPr>
                  <w:tcW w:type="dxa" w:w="228"/>
                  <w:tcBorders>
                    <w:top w:val="none" w:color="000000" w:sz="4"/>
                    <w:left w:val="single" w:color="000000" w:sz="4"/>
                    <w:bottom w:val="single" w:color="000000" w:sz="4"/>
                    <w:right w:val="single" w:color="000000" w:sz="4"/>
                  </w:tcBorders>
                  <w:shd w:fill="FFFFFF"/>
                  <w:vAlign w:val="top"/>
                </w:tcPr>
                <w:p>
                  <w:pPr>
                    <w:jc w:val="center"/>
                  </w:pPr>
                  <w:r>
                    <w:rPr>
                      <w:sz w:val="21"/>
                    </w:rPr>
                    <w:t>制动装置</w:t>
                  </w:r>
                </w:p>
              </w:tc>
              <w:tc>
                <w:tcPr>
                  <w:tcW w:type="dxa" w:w="384"/>
                  <w:tcBorders>
                    <w:top w:val="none" w:color="000000" w:sz="4"/>
                    <w:left w:val="single" w:color="000000" w:sz="4"/>
                    <w:bottom w:val="single" w:color="000000" w:sz="4"/>
                    <w:right w:val="single" w:color="000000" w:sz="4"/>
                  </w:tcBorders>
                  <w:shd w:fill="FFFFFF"/>
                  <w:vAlign w:val="top"/>
                </w:tcPr>
                <w:p>
                  <w:pPr>
                    <w:jc w:val="center"/>
                  </w:pPr>
                  <w:r>
                    <w:rPr>
                      <w:sz w:val="21"/>
                    </w:rPr>
                    <w:t>边列锁定装具</w:t>
                  </w:r>
                </w:p>
              </w:tc>
              <w:tc>
                <w:tcPr>
                  <w:tcW w:type="dxa" w:w="923"/>
                  <w:tcBorders>
                    <w:top w:val="none" w:color="000000" w:sz="4"/>
                    <w:left w:val="single" w:color="000000" w:sz="4"/>
                    <w:bottom w:val="single" w:color="000000" w:sz="4"/>
                    <w:right w:val="single" w:color="000000" w:sz="4"/>
                  </w:tcBorders>
                  <w:shd w:fill="FFFFFF"/>
                  <w:vAlign w:val="top"/>
                </w:tcPr>
                <w:p>
                  <w:pPr>
                    <w:jc w:val="center"/>
                  </w:pPr>
                  <w:r>
                    <w:rPr>
                      <w:sz w:val="21"/>
                    </w:rPr>
                    <w:t>808锁</w:t>
                  </w:r>
                </w:p>
              </w:tc>
              <w:tc>
                <w:tcPr>
                  <w:tcW w:type="dxa" w:w="829"/>
                  <w:tcBorders>
                    <w:top w:val="none" w:color="000000" w:sz="4"/>
                    <w:left w:val="single" w:color="000000" w:sz="4"/>
                    <w:bottom w:val="single" w:color="000000" w:sz="4"/>
                    <w:right w:val="single" w:color="000000" w:sz="4"/>
                  </w:tcBorders>
                  <w:shd w:fill="FFFFFF"/>
                  <w:vAlign w:val="top"/>
                </w:tcPr>
                <w:p>
                  <w:pPr>
                    <w:jc w:val="center"/>
                  </w:pPr>
                  <w:r>
                    <w:rPr>
                      <w:sz w:val="21"/>
                    </w:rPr>
                    <w:t>/</w:t>
                  </w:r>
                </w:p>
              </w:tc>
              <w:tc>
                <w:tcPr>
                  <w:tcW w:type="dxa" w:w="1441"/>
                  <w:tcBorders>
                    <w:top w:val="none" w:color="000000" w:sz="4"/>
                    <w:left w:val="single" w:color="000000" w:sz="4"/>
                    <w:bottom w:val="single" w:color="000000" w:sz="4"/>
                    <w:right w:val="single" w:color="000000" w:sz="4"/>
                  </w:tcBorders>
                  <w:shd w:fill="FFFFFF"/>
                  <w:vAlign w:val="top"/>
                </w:tcPr>
                <w:p>
                  <w:pPr>
                    <w:jc w:val="center"/>
                  </w:pPr>
                  <w:r>
                    <w:rPr>
                      <w:sz w:val="21"/>
                    </w:rPr>
                    <w:t>GB/T4336-2016</w:t>
                  </w:r>
                </w:p>
              </w:tc>
              <w:tc>
                <w:tcPr>
                  <w:tcW w:type="dxa" w:w="1596"/>
                  <w:tcBorders>
                    <w:top w:val="none" w:color="000000" w:sz="4"/>
                    <w:left w:val="single" w:color="000000" w:sz="4"/>
                    <w:bottom w:val="single" w:color="000000" w:sz="4"/>
                    <w:right w:val="single" w:color="000000" w:sz="4"/>
                  </w:tcBorders>
                  <w:shd w:fill="FFFFFF"/>
                  <w:vAlign w:val="top"/>
                </w:tcPr>
                <w:p>
                  <w:pPr>
                    <w:jc w:val="center"/>
                  </w:pPr>
                  <w:r>
                    <w:rPr>
                      <w:sz w:val="21"/>
                    </w:rPr>
                    <w:t>每列均装有制动装置，操作方便，制动可靠，使用存取安全。</w:t>
                  </w:r>
                </w:p>
              </w:tc>
            </w:tr>
            <w:tr>
              <w:tc>
                <w:tcPr>
                  <w:tcW w:type="dxa" w:w="197"/>
                  <w:vMerge w:val="restart"/>
                  <w:tcBorders>
                    <w:top w:val="none" w:color="000000" w:sz="4"/>
                    <w:left w:val="single" w:color="000000" w:sz="4"/>
                    <w:bottom w:val="single" w:color="000000" w:sz="4"/>
                    <w:right w:val="single" w:color="000000" w:sz="4"/>
                  </w:tcBorders>
                  <w:shd w:fill="FFFFFF"/>
                  <w:vAlign w:val="top"/>
                </w:tcPr>
                <w:p>
                  <w:pPr>
                    <w:jc w:val="center"/>
                  </w:pPr>
                  <w:r>
                    <w:rPr>
                      <w:sz w:val="21"/>
                    </w:rPr>
                    <w:t>9</w:t>
                  </w:r>
                </w:p>
              </w:tc>
              <w:tc>
                <w:tcPr>
                  <w:tcW w:type="dxa" w:w="228"/>
                  <w:vMerge w:val="restart"/>
                  <w:tcBorders>
                    <w:top w:val="none" w:color="000000" w:sz="4"/>
                    <w:left w:val="single" w:color="000000" w:sz="4"/>
                    <w:bottom w:val="single" w:color="000000" w:sz="4"/>
                    <w:right w:val="single" w:color="000000" w:sz="4"/>
                  </w:tcBorders>
                  <w:shd w:fill="FFFFFF"/>
                  <w:vAlign w:val="top"/>
                </w:tcPr>
                <w:p>
                  <w:pPr>
                    <w:jc w:val="center"/>
                  </w:pPr>
                  <w:r>
                    <w:rPr>
                      <w:sz w:val="21"/>
                    </w:rPr>
                    <w:t>防护装置</w:t>
                  </w:r>
                </w:p>
              </w:tc>
              <w:tc>
                <w:tcPr>
                  <w:tcW w:type="dxa" w:w="384"/>
                  <w:tcBorders>
                    <w:top w:val="none" w:color="000000" w:sz="4"/>
                    <w:left w:val="single" w:color="000000" w:sz="4"/>
                    <w:bottom w:val="single" w:color="000000" w:sz="4"/>
                    <w:right w:val="single" w:color="000000" w:sz="4"/>
                  </w:tcBorders>
                  <w:shd w:fill="FFFFFF"/>
                  <w:vAlign w:val="top"/>
                </w:tcPr>
                <w:p>
                  <w:pPr>
                    <w:jc w:val="center"/>
                  </w:pPr>
                  <w:r>
                    <w:rPr>
                      <w:sz w:val="21"/>
                    </w:rPr>
                    <w:t>防震防尘装置</w:t>
                  </w:r>
                </w:p>
              </w:tc>
              <w:tc>
                <w:tcPr>
                  <w:tcW w:type="dxa" w:w="923"/>
                  <w:tcBorders>
                    <w:top w:val="none" w:color="000000" w:sz="4"/>
                    <w:left w:val="single" w:color="000000" w:sz="4"/>
                    <w:bottom w:val="single" w:color="000000" w:sz="4"/>
                    <w:right w:val="single" w:color="000000" w:sz="4"/>
                  </w:tcBorders>
                  <w:shd w:fill="FFFFFF"/>
                  <w:vAlign w:val="top"/>
                </w:tcPr>
                <w:p>
                  <w:pPr>
                    <w:jc w:val="center"/>
                  </w:pPr>
                  <w:r>
                    <w:rPr>
                      <w:sz w:val="21"/>
                    </w:rPr>
                    <w:t>20mm</w:t>
                  </w:r>
                </w:p>
              </w:tc>
              <w:tc>
                <w:tcPr>
                  <w:tcW w:type="dxa" w:w="829"/>
                  <w:tcBorders>
                    <w:top w:val="none" w:color="000000" w:sz="4"/>
                    <w:left w:val="single" w:color="000000" w:sz="4"/>
                    <w:bottom w:val="single" w:color="000000" w:sz="4"/>
                    <w:right w:val="single" w:color="000000" w:sz="4"/>
                  </w:tcBorders>
                  <w:shd w:fill="FFFFFF"/>
                  <w:vAlign w:val="top"/>
                </w:tcPr>
                <w:p>
                  <w:pPr>
                    <w:jc w:val="center"/>
                  </w:pPr>
                  <w:r>
                    <w:rPr>
                      <w:sz w:val="21"/>
                    </w:rPr>
                    <w:t>磁性冰箱门吸条</w:t>
                  </w:r>
                </w:p>
              </w:tc>
              <w:tc>
                <w:tcPr>
                  <w:tcW w:type="dxa" w:w="1441"/>
                  <w:tcBorders>
                    <w:top w:val="none" w:color="000000" w:sz="4"/>
                    <w:left w:val="single" w:color="000000" w:sz="4"/>
                    <w:bottom w:val="single" w:color="000000" w:sz="4"/>
                    <w:right w:val="single" w:color="000000" w:sz="4"/>
                  </w:tcBorders>
                  <w:shd w:fill="FFFFFF"/>
                  <w:vAlign w:val="top"/>
                </w:tcPr>
                <w:p>
                  <w:pPr>
                    <w:jc w:val="center"/>
                  </w:pPr>
                  <w:r>
                    <w:rPr>
                      <w:sz w:val="21"/>
                    </w:rPr>
                    <w:t>国家标准</w:t>
                  </w:r>
                </w:p>
              </w:tc>
              <w:tc>
                <w:tcPr>
                  <w:tcW w:type="dxa" w:w="1596"/>
                  <w:vMerge w:val="restart"/>
                  <w:tcBorders>
                    <w:top w:val="none" w:color="000000" w:sz="4"/>
                    <w:left w:val="single" w:color="000000" w:sz="4"/>
                    <w:bottom w:val="single" w:color="000000" w:sz="4"/>
                    <w:right w:val="single" w:color="000000" w:sz="4"/>
                  </w:tcBorders>
                  <w:shd w:fill="FFFFFF"/>
                  <w:vAlign w:val="top"/>
                </w:tcPr>
                <w:p>
                  <w:pPr>
                    <w:jc w:val="center"/>
                  </w:pPr>
                  <w:r>
                    <w:rPr>
                      <w:sz w:val="21"/>
                    </w:rPr>
                    <w:t>每列的接触面均有缓冲及密封装置，具有良好的防</w:t>
                  </w:r>
                  <w:r>
                    <w:rPr>
                      <w:sz w:val="21"/>
                    </w:rPr>
                    <w:t>震、防尘、防鼠、防潮、防火功能。防倾倒装置固定</w:t>
                  </w:r>
                  <w:r>
                    <w:rPr>
                      <w:sz w:val="21"/>
                    </w:rPr>
                    <w:t>在移动列座上，应有防止倾倒。</w:t>
                  </w:r>
                </w:p>
              </w:tc>
            </w:tr>
            <w:tr>
              <w:tc>
                <w:tcPr>
                  <w:tcW w:type="dxa" w:w="197"/>
                  <w:vMerge/>
                  <w:tcBorders>
                    <w:top w:val="none" w:color="000000" w:sz="4"/>
                    <w:left w:val="single" w:color="000000" w:sz="4"/>
                    <w:bottom w:val="single" w:color="000000" w:sz="4"/>
                    <w:right w:val="single" w:color="000000" w:sz="4"/>
                  </w:tcBorders>
                </w:tcPr>
                <w:p/>
              </w:tc>
              <w:tc>
                <w:tcPr>
                  <w:tcW w:type="dxa" w:w="228"/>
                  <w:vMerge/>
                  <w:tcBorders>
                    <w:top w:val="none" w:color="000000" w:sz="4"/>
                    <w:left w:val="single" w:color="000000" w:sz="4"/>
                    <w:bottom w:val="single" w:color="000000" w:sz="4"/>
                    <w:right w:val="single" w:color="000000" w:sz="4"/>
                  </w:tcBorders>
                </w:tcPr>
                <w:p/>
              </w:tc>
              <w:tc>
                <w:tcPr>
                  <w:tcW w:type="dxa" w:w="384"/>
                  <w:tcBorders>
                    <w:top w:val="none" w:color="000000" w:sz="4"/>
                    <w:left w:val="single" w:color="000000" w:sz="4"/>
                    <w:bottom w:val="single" w:color="000000" w:sz="4"/>
                    <w:right w:val="single" w:color="000000" w:sz="4"/>
                  </w:tcBorders>
                  <w:shd w:fill="FFFFFF"/>
                  <w:vAlign w:val="top"/>
                </w:tcPr>
                <w:p>
                  <w:pPr>
                    <w:jc w:val="center"/>
                  </w:pPr>
                  <w:r>
                    <w:rPr>
                      <w:sz w:val="21"/>
                    </w:rPr>
                    <w:t>防尘板、顶板</w:t>
                  </w:r>
                </w:p>
              </w:tc>
              <w:tc>
                <w:tcPr>
                  <w:tcW w:type="dxa" w:w="923"/>
                  <w:tcBorders>
                    <w:top w:val="none" w:color="000000" w:sz="4"/>
                    <w:left w:val="single" w:color="000000" w:sz="4"/>
                    <w:bottom w:val="single" w:color="000000" w:sz="4"/>
                    <w:right w:val="single" w:color="000000" w:sz="4"/>
                  </w:tcBorders>
                  <w:shd w:fill="FFFFFF"/>
                  <w:vAlign w:val="top"/>
                </w:tcPr>
                <w:p>
                  <w:pPr>
                    <w:jc w:val="center"/>
                  </w:pPr>
                  <w:r>
                    <w:rPr>
                      <w:sz w:val="21"/>
                    </w:rPr>
                    <w:t>δ≥</w:t>
                  </w:r>
                  <w:r>
                    <w:rPr>
                      <w:sz w:val="21"/>
                    </w:rPr>
                    <w:t>0.8</w:t>
                  </w:r>
                  <w:r>
                    <w:rPr>
                      <w:sz w:val="19"/>
                    </w:rPr>
                    <w:t xml:space="preserve"> </w:t>
                  </w:r>
                  <w:r>
                    <w:rPr>
                      <w:sz w:val="21"/>
                    </w:rPr>
                    <w:t>mm</w:t>
                  </w:r>
                </w:p>
              </w:tc>
              <w:tc>
                <w:tcPr>
                  <w:tcW w:type="dxa" w:w="829"/>
                  <w:tcBorders>
                    <w:top w:val="none" w:color="000000" w:sz="4"/>
                    <w:left w:val="single" w:color="000000" w:sz="4"/>
                    <w:bottom w:val="single" w:color="000000" w:sz="4"/>
                    <w:right w:val="single" w:color="000000" w:sz="4"/>
                  </w:tcBorders>
                  <w:shd w:fill="FFFFFF"/>
                  <w:vAlign w:val="top"/>
                </w:tcPr>
                <w:p>
                  <w:pPr>
                    <w:jc w:val="center"/>
                  </w:pPr>
                  <w:r>
                    <w:rPr>
                      <w:sz w:val="21"/>
                    </w:rPr>
                    <w:t>优质冷轧钢板</w:t>
                  </w:r>
                </w:p>
              </w:tc>
              <w:tc>
                <w:tcPr>
                  <w:tcW w:type="dxa" w:w="1441"/>
                  <w:tcBorders>
                    <w:top w:val="none" w:color="000000" w:sz="4"/>
                    <w:left w:val="single" w:color="000000" w:sz="4"/>
                    <w:bottom w:val="single" w:color="000000" w:sz="4"/>
                    <w:right w:val="single" w:color="000000" w:sz="4"/>
                  </w:tcBorders>
                  <w:shd w:fill="FFFFFF"/>
                  <w:vAlign w:val="top"/>
                </w:tcPr>
                <w:p>
                  <w:pPr>
                    <w:jc w:val="center"/>
                  </w:pPr>
                  <w:r>
                    <w:rPr>
                      <w:sz w:val="21"/>
                    </w:rPr>
                    <w:t>GB/T4336-2016</w:t>
                  </w:r>
                </w:p>
              </w:tc>
            </w:tr>
            <w:tr>
              <w:tc>
                <w:tcPr>
                  <w:tcW w:type="dxa" w:w="197"/>
                  <w:vMerge/>
                  <w:tcBorders>
                    <w:top w:val="none" w:color="000000" w:sz="4"/>
                    <w:left w:val="single" w:color="000000" w:sz="4"/>
                    <w:bottom w:val="single" w:color="000000" w:sz="4"/>
                    <w:right w:val="single" w:color="000000" w:sz="4"/>
                  </w:tcBorders>
                </w:tcPr>
                <w:p/>
              </w:tc>
              <w:tc>
                <w:tcPr>
                  <w:tcW w:type="dxa" w:w="228"/>
                  <w:vMerge/>
                  <w:tcBorders>
                    <w:top w:val="none" w:color="000000" w:sz="4"/>
                    <w:left w:val="single" w:color="000000" w:sz="4"/>
                    <w:bottom w:val="single" w:color="000000" w:sz="4"/>
                    <w:right w:val="single" w:color="000000" w:sz="4"/>
                  </w:tcBorders>
                </w:tcPr>
                <w:p/>
              </w:tc>
              <w:tc>
                <w:tcPr>
                  <w:tcW w:type="dxa" w:w="384"/>
                  <w:tcBorders>
                    <w:top w:val="none" w:color="000000" w:sz="4"/>
                    <w:left w:val="single" w:color="000000" w:sz="4"/>
                    <w:bottom w:val="single" w:color="000000" w:sz="4"/>
                    <w:right w:val="single" w:color="000000" w:sz="4"/>
                  </w:tcBorders>
                  <w:shd w:fill="FFFFFF"/>
                  <w:vAlign w:val="top"/>
                </w:tcPr>
                <w:p>
                  <w:pPr>
                    <w:jc w:val="center"/>
                  </w:pPr>
                  <w:r>
                    <w:rPr>
                      <w:sz w:val="21"/>
                    </w:rPr>
                    <w:t>防鼠板</w:t>
                  </w:r>
                </w:p>
              </w:tc>
              <w:tc>
                <w:tcPr>
                  <w:tcW w:type="dxa" w:w="923"/>
                  <w:tcBorders>
                    <w:top w:val="none" w:color="000000" w:sz="4"/>
                    <w:left w:val="single" w:color="000000" w:sz="4"/>
                    <w:bottom w:val="single" w:color="000000" w:sz="4"/>
                    <w:right w:val="single" w:color="000000" w:sz="4"/>
                  </w:tcBorders>
                  <w:shd w:fill="FFFFFF"/>
                  <w:vAlign w:val="top"/>
                </w:tcPr>
                <w:p>
                  <w:pPr>
                    <w:jc w:val="center"/>
                  </w:pPr>
                  <w:r>
                    <w:rPr>
                      <w:sz w:val="21"/>
                    </w:rPr>
                    <w:t>δ≥</w:t>
                  </w:r>
                  <w:r>
                    <w:rPr>
                      <w:sz w:val="21"/>
                    </w:rPr>
                    <w:t>0.8</w:t>
                  </w:r>
                  <w:r>
                    <w:rPr>
                      <w:sz w:val="21"/>
                    </w:rPr>
                    <w:t>mm</w:t>
                  </w:r>
                </w:p>
              </w:tc>
              <w:tc>
                <w:tcPr>
                  <w:tcW w:type="dxa" w:w="829"/>
                  <w:tcBorders>
                    <w:top w:val="none" w:color="000000" w:sz="4"/>
                    <w:left w:val="single" w:color="000000" w:sz="4"/>
                    <w:bottom w:val="single" w:color="000000" w:sz="4"/>
                    <w:right w:val="single" w:color="000000" w:sz="4"/>
                  </w:tcBorders>
                  <w:shd w:fill="FFFFFF"/>
                  <w:vAlign w:val="top"/>
                </w:tcPr>
                <w:p>
                  <w:pPr>
                    <w:jc w:val="center"/>
                  </w:pPr>
                  <w:r>
                    <w:rPr>
                      <w:sz w:val="21"/>
                    </w:rPr>
                    <w:t>优质冷轧钢板</w:t>
                  </w:r>
                </w:p>
              </w:tc>
              <w:tc>
                <w:tcPr>
                  <w:tcW w:type="dxa" w:w="1441"/>
                  <w:tcBorders>
                    <w:top w:val="none" w:color="000000" w:sz="4"/>
                    <w:left w:val="single" w:color="000000" w:sz="4"/>
                    <w:bottom w:val="single" w:color="000000" w:sz="4"/>
                    <w:right w:val="single" w:color="000000" w:sz="4"/>
                  </w:tcBorders>
                  <w:shd w:fill="FFFFFF"/>
                  <w:vAlign w:val="top"/>
                </w:tcPr>
                <w:p>
                  <w:pPr>
                    <w:jc w:val="center"/>
                  </w:pPr>
                  <w:r>
                    <w:rPr>
                      <w:sz w:val="21"/>
                    </w:rPr>
                    <w:t>GB/T4336-2016</w:t>
                  </w:r>
                </w:p>
              </w:tc>
            </w:tr>
            <w:tr>
              <w:tc>
                <w:tcPr>
                  <w:tcW w:type="dxa" w:w="197"/>
                  <w:vMerge/>
                  <w:tcBorders>
                    <w:top w:val="none" w:color="000000" w:sz="4"/>
                    <w:left w:val="single" w:color="000000" w:sz="4"/>
                    <w:bottom w:val="single" w:color="000000" w:sz="4"/>
                    <w:right w:val="single" w:color="000000" w:sz="4"/>
                  </w:tcBorders>
                </w:tcPr>
                <w:p/>
              </w:tc>
              <w:tc>
                <w:tcPr>
                  <w:tcW w:type="dxa" w:w="228"/>
                  <w:vMerge/>
                  <w:tcBorders>
                    <w:top w:val="none" w:color="000000" w:sz="4"/>
                    <w:left w:val="single" w:color="000000" w:sz="4"/>
                    <w:bottom w:val="single" w:color="000000" w:sz="4"/>
                    <w:right w:val="single" w:color="000000" w:sz="4"/>
                  </w:tcBorders>
                </w:tcPr>
                <w:p/>
              </w:tc>
              <w:tc>
                <w:tcPr>
                  <w:tcW w:type="dxa" w:w="384"/>
                  <w:tcBorders>
                    <w:top w:val="none" w:color="000000" w:sz="4"/>
                    <w:left w:val="single" w:color="000000" w:sz="4"/>
                    <w:bottom w:val="single" w:color="000000" w:sz="4"/>
                    <w:right w:val="single" w:color="000000" w:sz="4"/>
                  </w:tcBorders>
                  <w:shd w:fill="FFFFFF"/>
                  <w:vAlign w:val="top"/>
                </w:tcPr>
                <w:p>
                  <w:pPr>
                    <w:jc w:val="center"/>
                  </w:pPr>
                  <w:r>
                    <w:rPr>
                      <w:sz w:val="21"/>
                    </w:rPr>
                    <w:t>防倾倒装置</w:t>
                  </w:r>
                </w:p>
              </w:tc>
              <w:tc>
                <w:tcPr>
                  <w:tcW w:type="dxa" w:w="923"/>
                  <w:tcBorders>
                    <w:top w:val="none" w:color="000000" w:sz="4"/>
                    <w:left w:val="single" w:color="000000" w:sz="4"/>
                    <w:bottom w:val="single" w:color="000000" w:sz="4"/>
                    <w:right w:val="single" w:color="000000" w:sz="4"/>
                  </w:tcBorders>
                  <w:shd w:fill="FFFFFF"/>
                  <w:vAlign w:val="top"/>
                </w:tcPr>
                <w:p>
                  <w:pPr>
                    <w:jc w:val="center"/>
                  </w:pPr>
                  <w:r>
                    <w:rPr>
                      <w:sz w:val="21"/>
                    </w:rPr>
                    <w:t>δ≥</w:t>
                  </w:r>
                  <w:r>
                    <w:rPr>
                      <w:sz w:val="21"/>
                    </w:rPr>
                    <w:t>3.0</w:t>
                  </w:r>
                  <w:r>
                    <w:rPr>
                      <w:sz w:val="21"/>
                    </w:rPr>
                    <w:t>mm</w:t>
                  </w:r>
                </w:p>
              </w:tc>
              <w:tc>
                <w:tcPr>
                  <w:tcW w:type="dxa" w:w="829"/>
                  <w:tcBorders>
                    <w:top w:val="none" w:color="000000" w:sz="4"/>
                    <w:left w:val="single" w:color="000000" w:sz="4"/>
                    <w:bottom w:val="single" w:color="000000" w:sz="4"/>
                    <w:right w:val="single" w:color="000000" w:sz="4"/>
                  </w:tcBorders>
                  <w:shd w:fill="FFFFFF"/>
                  <w:vAlign w:val="top"/>
                </w:tcPr>
                <w:p>
                  <w:pPr>
                    <w:jc w:val="center"/>
                  </w:pPr>
                  <w:r>
                    <w:rPr>
                      <w:sz w:val="21"/>
                    </w:rPr>
                    <w:t>优质冷轧钢板</w:t>
                  </w:r>
                </w:p>
              </w:tc>
              <w:tc>
                <w:tcPr>
                  <w:tcW w:type="dxa" w:w="1441"/>
                  <w:tcBorders>
                    <w:top w:val="none" w:color="000000" w:sz="4"/>
                    <w:left w:val="single" w:color="000000" w:sz="4"/>
                    <w:bottom w:val="single" w:color="000000" w:sz="4"/>
                    <w:right w:val="single" w:color="000000" w:sz="4"/>
                  </w:tcBorders>
                  <w:shd w:fill="FFFFFF"/>
                  <w:vAlign w:val="top"/>
                </w:tcPr>
                <w:p>
                  <w:pPr>
                    <w:jc w:val="center"/>
                  </w:pPr>
                  <w:r>
                    <w:rPr>
                      <w:sz w:val="21"/>
                    </w:rPr>
                    <w:t>GB/T4336-2016</w:t>
                  </w:r>
                </w:p>
              </w:tc>
            </w:tr>
            <w:tr>
              <w:tc>
                <w:tcPr>
                  <w:tcW w:type="dxa" w:w="197"/>
                  <w:vMerge w:val="restart"/>
                  <w:tcBorders>
                    <w:top w:val="none" w:color="000000" w:sz="4"/>
                    <w:left w:val="single" w:color="000000" w:sz="4"/>
                    <w:bottom w:val="single" w:color="000000" w:sz="4"/>
                    <w:right w:val="single" w:color="000000" w:sz="4"/>
                  </w:tcBorders>
                  <w:shd w:fill="FFFFFF"/>
                  <w:vAlign w:val="top"/>
                </w:tcPr>
                <w:p>
                  <w:pPr>
                    <w:jc w:val="center"/>
                  </w:pPr>
                  <w:r>
                    <w:rPr>
                      <w:sz w:val="21"/>
                    </w:rPr>
                    <w:t>10</w:t>
                  </w:r>
                </w:p>
              </w:tc>
              <w:tc>
                <w:tcPr>
                  <w:tcW w:type="dxa" w:w="228"/>
                  <w:vMerge w:val="restart"/>
                  <w:tcBorders>
                    <w:top w:val="none" w:color="000000" w:sz="4"/>
                    <w:left w:val="single" w:color="000000" w:sz="4"/>
                    <w:bottom w:val="single" w:color="000000" w:sz="4"/>
                    <w:right w:val="single" w:color="000000" w:sz="4"/>
                  </w:tcBorders>
                  <w:shd w:fill="FFFFFF"/>
                  <w:vAlign w:val="top"/>
                </w:tcPr>
                <w:p>
                  <w:pPr>
                    <w:jc w:val="center"/>
                  </w:pPr>
                  <w:r>
                    <w:rPr>
                      <w:sz w:val="21"/>
                    </w:rPr>
                    <w:t>表面处理</w:t>
                  </w:r>
                </w:p>
              </w:tc>
              <w:tc>
                <w:tcPr>
                  <w:tcW w:type="dxa" w:w="384"/>
                  <w:vMerge w:val="restart"/>
                  <w:tcBorders>
                    <w:top w:val="none" w:color="000000" w:sz="4"/>
                    <w:left w:val="single" w:color="000000" w:sz="4"/>
                    <w:bottom w:val="single" w:color="000000" w:sz="4"/>
                    <w:right w:val="single" w:color="000000" w:sz="4"/>
                  </w:tcBorders>
                  <w:shd w:fill="FFFFFF"/>
                  <w:vAlign w:val="top"/>
                </w:tcPr>
                <w:p>
                  <w:pPr>
                    <w:jc w:val="center"/>
                  </w:pPr>
                  <w:r>
                    <w:rPr>
                      <w:sz w:val="21"/>
                    </w:rPr>
                    <w:t>前处理药剂</w:t>
                  </w:r>
                </w:p>
                <w:p>
                  <w:pPr>
                    <w:jc w:val="both"/>
                  </w:pPr>
                </w:p>
              </w:tc>
              <w:tc>
                <w:tcPr>
                  <w:tcW w:type="dxa" w:w="923"/>
                  <w:tcBorders>
                    <w:top w:val="none" w:color="000000" w:sz="4"/>
                    <w:left w:val="single" w:color="000000" w:sz="4"/>
                    <w:bottom w:val="single" w:color="000000" w:sz="4"/>
                    <w:right w:val="single" w:color="000000" w:sz="4"/>
                  </w:tcBorders>
                  <w:shd w:fill="FFFFFF"/>
                  <w:vAlign w:val="top"/>
                </w:tcPr>
                <w:p>
                  <w:pPr>
                    <w:jc w:val="center"/>
                  </w:pPr>
                  <w:r>
                    <w:rPr>
                      <w:sz w:val="21"/>
                    </w:rPr>
                    <w:t>无磷脱脂剂</w:t>
                  </w:r>
                </w:p>
              </w:tc>
              <w:tc>
                <w:tcPr>
                  <w:tcW w:type="dxa" w:w="829"/>
                  <w:tcBorders>
                    <w:top w:val="none" w:color="000000" w:sz="4"/>
                    <w:left w:val="single" w:color="000000" w:sz="4"/>
                    <w:bottom w:val="single" w:color="000000" w:sz="4"/>
                    <w:right w:val="single" w:color="000000" w:sz="4"/>
                  </w:tcBorders>
                  <w:shd w:fill="FFFFFF"/>
                  <w:vAlign w:val="top"/>
                </w:tcPr>
                <w:p>
                  <w:pPr>
                    <w:jc w:val="center"/>
                  </w:pPr>
                  <w:r>
                    <w:rPr>
                      <w:sz w:val="21"/>
                    </w:rPr>
                    <w:t>/</w:t>
                  </w:r>
                </w:p>
              </w:tc>
              <w:tc>
                <w:tcPr>
                  <w:tcW w:type="dxa" w:w="1441"/>
                  <w:tcBorders>
                    <w:top w:val="none" w:color="000000" w:sz="4"/>
                    <w:left w:val="single" w:color="000000" w:sz="4"/>
                    <w:bottom w:val="single" w:color="000000" w:sz="4"/>
                    <w:right w:val="single" w:color="000000" w:sz="4"/>
                  </w:tcBorders>
                  <w:shd w:fill="FFFFFF"/>
                  <w:vAlign w:val="top"/>
                </w:tcPr>
                <w:p>
                  <w:pPr>
                    <w:jc w:val="center"/>
                  </w:pPr>
                  <w:r>
                    <w:rPr>
                      <w:sz w:val="21"/>
                    </w:rPr>
                    <w:t>国家标准</w:t>
                  </w:r>
                </w:p>
              </w:tc>
              <w:tc>
                <w:tcPr>
                  <w:tcW w:type="dxa" w:w="1596"/>
                  <w:tcBorders>
                    <w:top w:val="none" w:color="000000" w:sz="4"/>
                    <w:left w:val="single" w:color="000000" w:sz="4"/>
                    <w:bottom w:val="single" w:color="000000" w:sz="4"/>
                    <w:right w:val="single" w:color="000000" w:sz="4"/>
                  </w:tcBorders>
                  <w:shd w:fill="FFFFFF"/>
                  <w:vAlign w:val="top"/>
                </w:tcPr>
                <w:p>
                  <w:pPr>
                    <w:jc w:val="center"/>
                  </w:pPr>
                  <w:r>
                    <w:rPr>
                      <w:sz w:val="21"/>
                    </w:rPr>
                    <w:t>碳酸钠、无机盐、表面活性剂等</w:t>
                  </w:r>
                </w:p>
              </w:tc>
            </w:tr>
            <w:tr>
              <w:tc>
                <w:tcPr>
                  <w:tcW w:type="dxa" w:w="197"/>
                  <w:vMerge/>
                  <w:tcBorders>
                    <w:top w:val="none" w:color="000000" w:sz="4"/>
                    <w:left w:val="single" w:color="000000" w:sz="4"/>
                    <w:bottom w:val="single" w:color="000000" w:sz="4"/>
                    <w:right w:val="single" w:color="000000" w:sz="4"/>
                  </w:tcBorders>
                </w:tcPr>
                <w:p/>
              </w:tc>
              <w:tc>
                <w:tcPr>
                  <w:tcW w:type="dxa" w:w="228"/>
                  <w:vMerge/>
                  <w:tcBorders>
                    <w:top w:val="none" w:color="000000" w:sz="4"/>
                    <w:left w:val="single" w:color="000000" w:sz="4"/>
                    <w:bottom w:val="single" w:color="000000" w:sz="4"/>
                    <w:right w:val="single" w:color="000000" w:sz="4"/>
                  </w:tcBorders>
                </w:tcPr>
                <w:p/>
              </w:tc>
              <w:tc>
                <w:tcPr>
                  <w:tcW w:type="dxa" w:w="384"/>
                  <w:vMerge/>
                  <w:tcBorders>
                    <w:top w:val="none" w:color="000000" w:sz="4"/>
                    <w:left w:val="single" w:color="000000" w:sz="4"/>
                    <w:bottom w:val="single" w:color="000000" w:sz="4"/>
                    <w:right w:val="single" w:color="000000" w:sz="4"/>
                  </w:tcBorders>
                </w:tcPr>
                <w:p/>
              </w:tc>
              <w:tc>
                <w:tcPr>
                  <w:tcW w:type="dxa" w:w="923"/>
                  <w:tcBorders>
                    <w:top w:val="none" w:color="000000" w:sz="4"/>
                    <w:left w:val="single" w:color="000000" w:sz="4"/>
                    <w:bottom w:val="single" w:color="000000" w:sz="4"/>
                    <w:right w:val="single" w:color="000000" w:sz="4"/>
                  </w:tcBorders>
                  <w:shd w:fill="FFFFFF"/>
                  <w:vAlign w:val="top"/>
                </w:tcPr>
                <w:p>
                  <w:pPr>
                    <w:jc w:val="center"/>
                  </w:pPr>
                  <w:r>
                    <w:rPr>
                      <w:sz w:val="21"/>
                    </w:rPr>
                    <w:t>陶化剂</w:t>
                  </w:r>
                </w:p>
              </w:tc>
              <w:tc>
                <w:tcPr>
                  <w:tcW w:type="dxa" w:w="829"/>
                  <w:tcBorders>
                    <w:top w:val="none" w:color="000000" w:sz="4"/>
                    <w:left w:val="single" w:color="000000" w:sz="4"/>
                    <w:bottom w:val="single" w:color="000000" w:sz="4"/>
                    <w:right w:val="single" w:color="000000" w:sz="4"/>
                  </w:tcBorders>
                  <w:shd w:fill="FFFFFF"/>
                  <w:vAlign w:val="top"/>
                </w:tcPr>
                <w:p>
                  <w:pPr>
                    <w:jc w:val="center"/>
                  </w:pPr>
                  <w:r>
                    <w:rPr>
                      <w:sz w:val="21"/>
                    </w:rPr>
                    <w:t>/</w:t>
                  </w:r>
                </w:p>
              </w:tc>
              <w:tc>
                <w:tcPr>
                  <w:tcW w:type="dxa" w:w="1441"/>
                  <w:tcBorders>
                    <w:top w:val="none" w:color="000000" w:sz="4"/>
                    <w:left w:val="single" w:color="000000" w:sz="4"/>
                    <w:bottom w:val="single" w:color="000000" w:sz="4"/>
                    <w:right w:val="single" w:color="000000" w:sz="4"/>
                  </w:tcBorders>
                  <w:shd w:fill="FFFFFF"/>
                  <w:vAlign w:val="top"/>
                </w:tcPr>
                <w:p>
                  <w:pPr>
                    <w:jc w:val="center"/>
                  </w:pPr>
                  <w:r>
                    <w:rPr>
                      <w:sz w:val="21"/>
                    </w:rPr>
                    <w:t>国家标准</w:t>
                  </w:r>
                </w:p>
              </w:tc>
              <w:tc>
                <w:tcPr>
                  <w:tcW w:type="dxa" w:w="1596"/>
                  <w:tcBorders>
                    <w:top w:val="none" w:color="000000" w:sz="4"/>
                    <w:left w:val="single" w:color="000000" w:sz="4"/>
                    <w:bottom w:val="single" w:color="000000" w:sz="4"/>
                    <w:right w:val="single" w:color="000000" w:sz="4"/>
                  </w:tcBorders>
                  <w:shd w:fill="FFFFFF"/>
                  <w:vAlign w:val="top"/>
                </w:tcPr>
                <w:p>
                  <w:pPr>
                    <w:jc w:val="center"/>
                  </w:pPr>
                  <w:r>
                    <w:rPr>
                      <w:sz w:val="21"/>
                    </w:rPr>
                    <w:t>钛锆复合物、氟化物、络合剂</w:t>
                  </w:r>
                </w:p>
              </w:tc>
            </w:tr>
            <w:tr>
              <w:tc>
                <w:tcPr>
                  <w:tcW w:type="dxa" w:w="197"/>
                  <w:vMerge/>
                  <w:tcBorders>
                    <w:top w:val="none" w:color="000000" w:sz="4"/>
                    <w:left w:val="single" w:color="000000" w:sz="4"/>
                    <w:bottom w:val="single" w:color="000000" w:sz="4"/>
                    <w:right w:val="single" w:color="000000" w:sz="4"/>
                  </w:tcBorders>
                </w:tcPr>
                <w:p/>
              </w:tc>
              <w:tc>
                <w:tcPr>
                  <w:tcW w:type="dxa" w:w="228"/>
                  <w:vMerge/>
                  <w:tcBorders>
                    <w:top w:val="none" w:color="000000" w:sz="4"/>
                    <w:left w:val="single" w:color="000000" w:sz="4"/>
                    <w:bottom w:val="single" w:color="000000" w:sz="4"/>
                    <w:right w:val="single" w:color="000000" w:sz="4"/>
                  </w:tcBorders>
                </w:tcPr>
                <w:p/>
              </w:tc>
              <w:tc>
                <w:tcPr>
                  <w:tcW w:type="dxa" w:w="384"/>
                  <w:tcBorders>
                    <w:top w:val="none" w:color="000000" w:sz="4"/>
                    <w:left w:val="single" w:color="000000" w:sz="4"/>
                    <w:bottom w:val="single" w:color="000000" w:sz="4"/>
                    <w:right w:val="single" w:color="000000" w:sz="4"/>
                  </w:tcBorders>
                  <w:shd w:fill="FFFFFF"/>
                  <w:vAlign w:val="top"/>
                </w:tcPr>
                <w:p>
                  <w:pPr>
                    <w:jc w:val="center"/>
                  </w:pPr>
                  <w:r>
                    <w:rPr>
                      <w:sz w:val="21"/>
                    </w:rPr>
                    <w:t>高压静电喷塑</w:t>
                  </w:r>
                </w:p>
              </w:tc>
              <w:tc>
                <w:tcPr>
                  <w:tcW w:type="dxa" w:w="923"/>
                  <w:tcBorders>
                    <w:top w:val="none" w:color="000000" w:sz="4"/>
                    <w:left w:val="single" w:color="000000" w:sz="4"/>
                    <w:bottom w:val="single" w:color="000000" w:sz="4"/>
                    <w:right w:val="single" w:color="000000" w:sz="4"/>
                  </w:tcBorders>
                  <w:shd w:fill="FFFFFF"/>
                  <w:vAlign w:val="top"/>
                </w:tcPr>
                <w:p>
                  <w:pPr>
                    <w:jc w:val="center"/>
                  </w:pPr>
                  <w:r>
                    <w:rPr>
                      <w:sz w:val="21"/>
                    </w:rPr>
                    <w:t>环氧型聚脂混合粉</w:t>
                  </w:r>
                </w:p>
              </w:tc>
              <w:tc>
                <w:tcPr>
                  <w:tcW w:type="dxa" w:w="829"/>
                  <w:tcBorders>
                    <w:top w:val="none" w:color="000000" w:sz="4"/>
                    <w:left w:val="single" w:color="000000" w:sz="4"/>
                    <w:bottom w:val="single" w:color="000000" w:sz="4"/>
                    <w:right w:val="single" w:color="000000" w:sz="4"/>
                  </w:tcBorders>
                  <w:shd w:fill="FFFFFF"/>
                  <w:vAlign w:val="top"/>
                </w:tcPr>
                <w:p>
                  <w:pPr>
                    <w:jc w:val="center"/>
                  </w:pPr>
                  <w:r>
                    <w:rPr>
                      <w:sz w:val="21"/>
                    </w:rPr>
                    <w:t>国家标准</w:t>
                  </w:r>
                </w:p>
              </w:tc>
              <w:tc>
                <w:tcPr>
                  <w:tcW w:type="dxa" w:w="1441"/>
                  <w:tcBorders>
                    <w:top w:val="none" w:color="000000" w:sz="4"/>
                    <w:left w:val="single" w:color="000000" w:sz="4"/>
                    <w:bottom w:val="single" w:color="000000" w:sz="4"/>
                    <w:right w:val="single" w:color="000000" w:sz="4"/>
                  </w:tcBorders>
                  <w:shd w:fill="FFFFFF"/>
                  <w:vAlign w:val="top"/>
                </w:tcPr>
                <w:p>
                  <w:pPr>
                    <w:jc w:val="center"/>
                  </w:pPr>
                </w:p>
              </w:tc>
              <w:tc>
                <w:tcPr>
                  <w:tcW w:type="dxa" w:w="1596"/>
                  <w:tcBorders>
                    <w:top w:val="none" w:color="000000" w:sz="4"/>
                    <w:left w:val="single" w:color="000000" w:sz="4"/>
                    <w:bottom w:val="single" w:color="000000" w:sz="4"/>
                    <w:right w:val="single" w:color="000000" w:sz="4"/>
                  </w:tcBorders>
                  <w:shd w:fill="FFFFFF"/>
                  <w:vAlign w:val="top"/>
                </w:tcPr>
                <w:p>
                  <w:pPr>
                    <w:jc w:val="center"/>
                  </w:pPr>
                  <w:r>
                    <w:rPr>
                      <w:sz w:val="21"/>
                    </w:rPr>
                    <w:t>耐湿热、耐冲击、耐酸性</w:t>
                  </w:r>
                </w:p>
              </w:tc>
            </w:tr>
            <w:tr>
              <w:tc>
                <w:tcPr>
                  <w:tcW w:type="dxa" w:w="197"/>
                  <w:tcBorders>
                    <w:top w:val="none" w:color="000000" w:sz="4"/>
                    <w:left w:val="single" w:color="000000" w:sz="4"/>
                    <w:bottom w:val="single" w:color="000000" w:sz="4"/>
                    <w:right w:val="single" w:color="000000" w:sz="4"/>
                  </w:tcBorders>
                  <w:shd w:fill="FFFFFF"/>
                  <w:vAlign w:val="top"/>
                </w:tcPr>
                <w:p>
                  <w:pPr>
                    <w:jc w:val="center"/>
                  </w:pPr>
                  <w:r>
                    <w:rPr>
                      <w:sz w:val="21"/>
                    </w:rPr>
                    <w:t>11</w:t>
                  </w:r>
                </w:p>
              </w:tc>
              <w:tc>
                <w:tcPr>
                  <w:tcW w:type="dxa" w:w="228"/>
                  <w:tcBorders>
                    <w:top w:val="none" w:color="000000" w:sz="4"/>
                    <w:left w:val="single" w:color="000000" w:sz="4"/>
                    <w:bottom w:val="single" w:color="000000" w:sz="4"/>
                    <w:right w:val="single" w:color="000000" w:sz="4"/>
                  </w:tcBorders>
                  <w:shd w:fill="FFFFFF"/>
                  <w:vAlign w:val="top"/>
                </w:tcPr>
                <w:p>
                  <w:pPr>
                    <w:jc w:val="center"/>
                  </w:pPr>
                  <w:r>
                    <w:rPr>
                      <w:sz w:val="21"/>
                    </w:rPr>
                    <w:t>紧固件</w:t>
                  </w:r>
                </w:p>
              </w:tc>
              <w:tc>
                <w:tcPr>
                  <w:tcW w:type="dxa" w:w="384"/>
                  <w:tcBorders>
                    <w:top w:val="none" w:color="000000" w:sz="4"/>
                    <w:left w:val="single" w:color="000000" w:sz="4"/>
                    <w:bottom w:val="single" w:color="000000" w:sz="4"/>
                    <w:right w:val="single" w:color="000000" w:sz="4"/>
                  </w:tcBorders>
                  <w:shd w:fill="FFFFFF"/>
                  <w:vAlign w:val="top"/>
                </w:tcPr>
                <w:p>
                  <w:pPr>
                    <w:jc w:val="center"/>
                  </w:pPr>
                  <w:r>
                    <w:rPr>
                      <w:sz w:val="21"/>
                    </w:rPr>
                    <w:t>45#</w:t>
                  </w:r>
                </w:p>
              </w:tc>
              <w:tc>
                <w:tcPr>
                  <w:tcW w:type="dxa" w:w="923"/>
                  <w:tcBorders>
                    <w:top w:val="none" w:color="000000" w:sz="4"/>
                    <w:left w:val="single" w:color="000000" w:sz="4"/>
                    <w:bottom w:val="single" w:color="000000" w:sz="4"/>
                    <w:right w:val="single" w:color="000000" w:sz="4"/>
                  </w:tcBorders>
                  <w:shd w:fill="FFFFFF"/>
                  <w:vAlign w:val="top"/>
                </w:tcPr>
                <w:p>
                  <w:pPr>
                    <w:jc w:val="center"/>
                  </w:pPr>
                  <w:r>
                    <w:rPr>
                      <w:sz w:val="21"/>
                    </w:rPr>
                    <w:t>/</w:t>
                  </w:r>
                </w:p>
              </w:tc>
              <w:tc>
                <w:tcPr>
                  <w:tcW w:type="dxa" w:w="829"/>
                  <w:tcBorders>
                    <w:top w:val="none" w:color="000000" w:sz="4"/>
                    <w:left w:val="single" w:color="000000" w:sz="4"/>
                    <w:bottom w:val="single" w:color="000000" w:sz="4"/>
                    <w:right w:val="single" w:color="000000" w:sz="4"/>
                  </w:tcBorders>
                  <w:shd w:fill="FFFFFF"/>
                  <w:vAlign w:val="top"/>
                </w:tcPr>
                <w:p>
                  <w:pPr>
                    <w:jc w:val="center"/>
                  </w:pPr>
                  <w:r>
                    <w:rPr>
                      <w:sz w:val="21"/>
                    </w:rPr>
                    <w:t>国家标准</w:t>
                  </w:r>
                </w:p>
              </w:tc>
              <w:tc>
                <w:tcPr>
                  <w:tcW w:type="dxa" w:w="1441"/>
                  <w:tcBorders>
                    <w:top w:val="none" w:color="000000" w:sz="4"/>
                    <w:left w:val="single" w:color="000000" w:sz="4"/>
                    <w:bottom w:val="single" w:color="000000" w:sz="4"/>
                    <w:right w:val="single" w:color="000000" w:sz="4"/>
                  </w:tcBorders>
                  <w:shd w:fill="FFFFFF"/>
                  <w:vAlign w:val="top"/>
                </w:tcPr>
                <w:p>
                  <w:pPr>
                    <w:jc w:val="center"/>
                  </w:pPr>
                  <w:r>
                    <w:rPr>
                      <w:sz w:val="21"/>
                    </w:rPr>
                    <w:t>GB/T228.1-2010</w:t>
                  </w:r>
                </w:p>
              </w:tc>
              <w:tc>
                <w:tcPr>
                  <w:tcW w:type="dxa" w:w="1596"/>
                  <w:tcBorders>
                    <w:top w:val="none" w:color="000000" w:sz="4"/>
                    <w:left w:val="single" w:color="000000" w:sz="4"/>
                    <w:bottom w:val="single" w:color="000000" w:sz="4"/>
                    <w:right w:val="single" w:color="000000" w:sz="4"/>
                  </w:tcBorders>
                  <w:shd w:fill="FFFFFF"/>
                  <w:vAlign w:val="top"/>
                </w:tcPr>
                <w:p>
                  <w:pPr>
                    <w:jc w:val="center"/>
                  </w:pPr>
                </w:p>
              </w:tc>
            </w:tr>
          </w:tbl>
        </w:tc>
      </w:tr>
      <w:tr>
        <w:tc>
          <w:tcPr>
            <w:tcW w:type="dxa" w:w="2076"/>
          </w:tcPr>
          <w:p>
            <w:r>
              <w:rPr/>
              <w:t>说明</w:t>
            </w:r>
          </w:p>
        </w:tc>
        <w:tc>
          <w:tcPr>
            <w:tcW w:type="dxa" w:w="6229"/>
            <w:gridSpan w:val="2"/>
          </w:tcPr>
          <w:p>
            <w:pPr>
              <w:jc w:val="left"/>
            </w:pPr>
            <w:r>
              <w:rPr/>
              <w:t>打“★”号条款为实质性条款，若有任何一条负偏离或不满足则导致投标无效。</w:t>
            </w:r>
            <w:r>
              <w:br/>
            </w:r>
            <w:r>
              <w:rPr/>
              <w:t>打“▲”号条款为重要技术参数，若有部分“▲”条款未响应或不满足，将导致其响应性评审加重扣分，但不作为无效投标条款。</w:t>
            </w:r>
          </w:p>
        </w:tc>
      </w:tr>
    </w:tbl>
    <w:p/>
    <w:p>
      <w:pPr>
        <w:ind w:firstLine="480"/>
      </w:pPr>
    </w:p>
    <w:p>
      <w:r>
        <w:rPr/>
        <w:t xml:space="preserve"> </w:t>
      </w:r>
    </w:p>
    <w:p/>
    <w:p>
      <w:pPr>
        <w:jc w:val="center"/>
      </w:pPr>
      <w:r>
        <w:rPr>
          <w:b/>
          <w:sz w:val="36"/>
        </w:rPr>
        <w:t>第三章 供应商须知</w:t>
      </w:r>
    </w:p>
    <w:p>
      <w:pPr>
        <w:ind w:firstLine="480"/>
      </w:pPr>
      <w:r>
        <w:rPr/>
        <w:t>供应商必须认真阅读磋商文件中所有的事项、格式、条款和采购需求等。供应商没有按照磋商文件要求提交全部资料，或者响应文件没有对磋商文件在各方面都做出实质性响应的可能导致其响应无效或被拒绝。</w:t>
      </w:r>
    </w:p>
    <w:p>
      <w:pPr>
        <w:ind w:firstLine="480"/>
      </w:pPr>
      <w:r>
        <w:rPr/>
        <w:t>请注意：供应商需在响应文件截止时间前，将加密响应文件上传至云平台项目采购系统中并取得回执，逾期上传或错误方式投递送达将导致响应无效。</w:t>
      </w:r>
    </w:p>
    <w:p>
      <w:r>
        <w:rPr>
          <w:b/>
          <w:sz w:val="24"/>
        </w:rPr>
        <w:t>一、名词解释</w:t>
      </w:r>
    </w:p>
    <w:p>
      <w:pPr>
        <w:ind w:firstLine="480"/>
      </w:pPr>
      <w:r>
        <w:rPr/>
        <w:t>1.采购代理机构：本项目是指云浮市国御招标代理有限公司，负责整个采购活动的组织，依法负责编制和发布磋商文件，对磋商文件拥有最终的解释权，不以任何身份出任磋商小组成员。</w:t>
      </w:r>
    </w:p>
    <w:p>
      <w:pPr>
        <w:ind w:firstLine="480"/>
      </w:pPr>
      <w:r>
        <w:rPr/>
        <w:t>2.采购人：本项目是指</w:t>
      </w:r>
      <w:r>
        <w:rPr/>
        <w:t>云浮市云安区档案馆</w:t>
      </w:r>
      <w:r>
        <w:rPr/>
        <w:t>，是采购活动当事人之一，负责项目的整体规划、技术方案可行性设计论证与实施，作为合同采购方（用户）的主体承担质疑回复、履行合同、验收与评价等义务。</w:t>
      </w:r>
    </w:p>
    <w:p>
      <w:pPr>
        <w:ind w:firstLine="480"/>
      </w:pPr>
      <w:r>
        <w:rPr/>
        <w:t>3.供应商：是指在云平台项目采购系统完成本项目响应登记并提交电子响应文件的供应商。</w:t>
      </w:r>
    </w:p>
    <w:p>
      <w:pPr>
        <w:ind w:firstLine="480"/>
      </w:pPr>
      <w:r>
        <w:rPr/>
        <w:t>4.“磋商小组”是指根据《中华人民共和国政府采购法》等法律法规规定，由采购人代表和有关专家组成以确定成交供应商或者推荐成交候选供应商的临时组织。</w:t>
      </w:r>
    </w:p>
    <w:p>
      <w:pPr>
        <w:ind w:firstLine="480"/>
      </w:pPr>
      <w:r>
        <w:rPr/>
        <w:t>5.“成交供应商”是指经磋商小组评审确定的对磋商文件做出实质性响应，经采购人按照规定在磋商小组推荐的成交候选供应商中确定的或磋商小组受采购人委托直接确认的供应商。</w:t>
      </w:r>
    </w:p>
    <w:p>
      <w:pPr>
        <w:ind w:firstLine="480"/>
      </w:pPr>
      <w:r>
        <w:rPr/>
        <w:t>6.磋商文件：是指包括磋商公告和磋商文件及其补充、变更和澄清等一系列文件。</w:t>
      </w:r>
    </w:p>
    <w:p>
      <w:pPr>
        <w:ind w:firstLine="480"/>
      </w:pPr>
      <w:r>
        <w:rPr/>
        <w:t>7.电子响应文件：是指使用云平台提供的投标客户端制作加密并上传到系统的响应文件。（投标客户端制作响应文件时，生成的后缀为“.标书”的文件）</w:t>
      </w:r>
    </w:p>
    <w:p>
      <w:pPr>
        <w:ind w:firstLine="480"/>
      </w:pPr>
      <w:r>
        <w:rPr/>
        <w:t>8.备用电子响应文件：是指使用云平台提供的投标客户端制作电子响应文件时，同时生成的同一版本的备用响应文件。（投标客户端制作响应文件时，生成的后缀为“.备用标书”的文件）</w:t>
      </w:r>
    </w:p>
    <w:p>
      <w:pPr>
        <w:ind w:firstLine="480"/>
      </w:pPr>
      <w:r>
        <w:rPr/>
        <w:t>9.电子签名和电子印章：是指获得国家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ind w:firstLine="480"/>
      </w:pPr>
      <w:r>
        <w:rPr/>
        <w:t>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ind w:firstLine="480"/>
      </w:pPr>
      <w:r>
        <w:rPr/>
        <w:t>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ind w:firstLine="480"/>
      </w:pPr>
      <w:r>
        <w:rPr/>
        <w:t>12.“法定代表人”：在电子投标（响应）文件及相关的其他电子资料中，涉及“法定代表人”应在纸质投标（响应）文件上进行手写签名，或通过投标客户端使用电子签名完成。</w:t>
      </w:r>
    </w:p>
    <w:p>
      <w:pPr>
        <w:ind w:firstLine="480"/>
      </w:pPr>
      <w:r>
        <w:rPr/>
        <w:t>13.日期、天数、时间：未有特别说明时，均为公历日（天）及北京时间。</w:t>
      </w:r>
    </w:p>
    <w:p>
      <w:r>
        <w:rPr>
          <w:b/>
          <w:sz w:val="28"/>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r>
              <w:rPr/>
              <w:t>本表与磋商文件对应章节的内容若不一致，以本表为准。</w:t>
            </w:r>
          </w:p>
        </w:tc>
      </w:tr>
      <w:tr>
        <w:tc>
          <w:tcPr>
            <w:tcW w:type="dxa" w:w="1051"/>
          </w:tcPr>
          <w:p>
            <w:r>
              <w:rPr/>
              <w:t>序号</w:t>
            </w:r>
          </w:p>
        </w:tc>
        <w:tc>
          <w:tcPr>
            <w:tcW w:type="dxa" w:w="2252"/>
          </w:tcPr>
          <w:p>
            <w:r>
              <w:rPr/>
              <w:t>条款名称</w:t>
            </w:r>
          </w:p>
        </w:tc>
        <w:tc>
          <w:tcPr>
            <w:tcW w:type="dxa" w:w="5004"/>
          </w:tcPr>
          <w:p>
            <w:r>
              <w:rPr/>
              <w:t>内容及要求</w:t>
            </w:r>
          </w:p>
        </w:tc>
      </w:tr>
      <w:tr>
        <w:tc>
          <w:tcPr>
            <w:tcW w:type="dxa" w:w="1051"/>
          </w:tcPr>
          <w:p>
            <w:pPr>
              <w:jc w:val="center"/>
            </w:pPr>
            <w:r>
              <w:rPr/>
              <w:t>1</w:t>
            </w:r>
          </w:p>
        </w:tc>
        <w:tc>
          <w:tcPr>
            <w:tcW w:type="dxa" w:w="2252"/>
          </w:tcPr>
          <w:p>
            <w:r>
              <w:rPr/>
              <w:t>采购包情况</w:t>
            </w:r>
          </w:p>
        </w:tc>
        <w:tc>
          <w:tcPr>
            <w:tcW w:type="dxa" w:w="5004"/>
          </w:tcPr>
          <w:p>
            <w:r>
              <w:rPr/>
              <w:t>本项目共</w:t>
            </w:r>
            <w:r>
              <w:rPr/>
              <w:t>1</w:t>
            </w:r>
            <w:r>
              <w:rPr/>
              <w:t>个采购包</w:t>
            </w:r>
          </w:p>
        </w:tc>
      </w:tr>
      <w:tr>
        <w:tc>
          <w:tcPr>
            <w:tcW w:type="dxa" w:w="1051"/>
          </w:tcPr>
          <w:p>
            <w:pPr>
              <w:jc w:val="center"/>
            </w:pPr>
            <w:r>
              <w:rPr/>
              <w:t>2</w:t>
            </w:r>
          </w:p>
        </w:tc>
        <w:tc>
          <w:tcPr>
            <w:tcW w:type="dxa" w:w="2252"/>
          </w:tcPr>
          <w:p>
            <w:r>
              <w:rPr/>
              <w:t>开启方式</w:t>
            </w:r>
          </w:p>
        </w:tc>
        <w:tc>
          <w:tcPr>
            <w:tcW w:type="dxa" w:w="5004"/>
          </w:tcPr>
          <w:p>
            <w:r>
              <w:rPr/>
              <w:t>远程电子开标</w:t>
            </w:r>
          </w:p>
        </w:tc>
      </w:tr>
      <w:tr>
        <w:tc>
          <w:tcPr>
            <w:tcW w:type="dxa" w:w="1051"/>
          </w:tcPr>
          <w:p>
            <w:pPr>
              <w:jc w:val="center"/>
            </w:pPr>
            <w:r>
              <w:rPr/>
              <w:t>3</w:t>
            </w:r>
          </w:p>
        </w:tc>
        <w:tc>
          <w:tcPr>
            <w:tcW w:type="dxa" w:w="2252"/>
          </w:tcPr>
          <w:p>
            <w:r>
              <w:rPr/>
              <w:t>评审方式</w:t>
            </w:r>
          </w:p>
        </w:tc>
        <w:tc>
          <w:tcPr>
            <w:tcW w:type="dxa" w:w="5004"/>
          </w:tcPr>
          <w:p>
            <w:r>
              <w:rPr/>
              <w:t>现场电子评标</w:t>
            </w:r>
            <w:r>
              <w:rPr/>
              <w:t>（供应商应当审慎标记各评审项的应答部分，标记内容清晰且完整，否则将自行承担不利后果）</w:t>
            </w:r>
          </w:p>
        </w:tc>
      </w:tr>
      <w:tr>
        <w:tc>
          <w:tcPr>
            <w:tcW w:type="dxa" w:w="1051"/>
          </w:tcPr>
          <w:p>
            <w:pPr>
              <w:jc w:val="center"/>
            </w:pPr>
            <w:r>
              <w:rPr/>
              <w:t>4</w:t>
            </w:r>
          </w:p>
        </w:tc>
        <w:tc>
          <w:tcPr>
            <w:tcW w:type="dxa" w:w="2252"/>
          </w:tcPr>
          <w:p>
            <w:r>
              <w:rPr/>
              <w:t>评审办法</w:t>
            </w:r>
          </w:p>
        </w:tc>
        <w:tc>
          <w:tcPr>
            <w:tcW w:type="dxa" w:w="5004"/>
          </w:tcPr>
          <w:p>
            <w:r>
              <w:rPr/>
              <w:t>采购包1：综合评分法</w:t>
            </w:r>
          </w:p>
        </w:tc>
      </w:tr>
      <w:tr>
        <w:tc>
          <w:tcPr>
            <w:tcW w:type="dxa" w:w="1051"/>
          </w:tcPr>
          <w:p>
            <w:pPr>
              <w:jc w:val="center"/>
            </w:pPr>
            <w:r>
              <w:rPr/>
              <w:t>5</w:t>
            </w:r>
          </w:p>
        </w:tc>
        <w:tc>
          <w:tcPr>
            <w:tcW w:type="dxa" w:w="2252"/>
          </w:tcPr>
          <w:p>
            <w:r>
              <w:rPr/>
              <w:t>报价形式</w:t>
            </w:r>
          </w:p>
        </w:tc>
        <w:tc>
          <w:tcPr>
            <w:tcW w:type="dxa" w:w="5004"/>
          </w:tcPr>
          <w:p/>
          <w:p>
            <w:r>
              <w:rPr/>
              <w:t>采购包1：总价</w:t>
            </w:r>
          </w:p>
        </w:tc>
      </w:tr>
      <w:tr>
        <w:tc>
          <w:tcPr>
            <w:tcW w:type="dxa" w:w="1051"/>
          </w:tcPr>
          <w:p>
            <w:pPr>
              <w:jc w:val="center"/>
            </w:pPr>
            <w:r>
              <w:rPr/>
              <w:t>6</w:t>
            </w:r>
          </w:p>
        </w:tc>
        <w:tc>
          <w:tcPr>
            <w:tcW w:type="dxa" w:w="2252"/>
          </w:tcPr>
          <w:p>
            <w:r>
              <w:rPr/>
              <w:t>报价要求</w:t>
            </w:r>
          </w:p>
        </w:tc>
        <w:tc>
          <w:tcPr>
            <w:tcW w:type="dxa" w:w="5004"/>
          </w:tcPr>
          <w:p>
            <w:r>
              <w:rPr/>
              <w:t>各采购包报价不超过预算总价</w:t>
            </w:r>
          </w:p>
        </w:tc>
      </w:tr>
      <w:tr>
        <w:tc>
          <w:tcPr>
            <w:tcW w:type="dxa" w:w="1051"/>
          </w:tcPr>
          <w:p>
            <w:pPr>
              <w:jc w:val="center"/>
            </w:pPr>
            <w:r>
              <w:rPr/>
              <w:t>7</w:t>
            </w:r>
          </w:p>
        </w:tc>
        <w:tc>
          <w:tcPr>
            <w:tcW w:type="dxa" w:w="2252"/>
          </w:tcPr>
          <w:p>
            <w:r>
              <w:rPr/>
              <w:t>现场踏勘</w:t>
            </w:r>
          </w:p>
        </w:tc>
        <w:tc>
          <w:tcPr>
            <w:tcW w:type="dxa" w:w="5004"/>
          </w:tcPr>
          <w:p/>
          <w:p>
            <w:r>
              <w:rPr/>
              <w:t>否</w:t>
            </w:r>
          </w:p>
        </w:tc>
      </w:tr>
      <w:tr>
        <w:tc>
          <w:tcPr>
            <w:tcW w:type="dxa" w:w="1051"/>
          </w:tcPr>
          <w:p>
            <w:pPr>
              <w:jc w:val="center"/>
            </w:pPr>
            <w:r>
              <w:rPr/>
              <w:t>8</w:t>
            </w:r>
          </w:p>
        </w:tc>
        <w:tc>
          <w:tcPr>
            <w:tcW w:type="dxa" w:w="2252"/>
          </w:tcPr>
          <w:p>
            <w:r>
              <w:rPr/>
              <w:t>响应有效期</w:t>
            </w:r>
          </w:p>
        </w:tc>
        <w:tc>
          <w:tcPr>
            <w:tcW w:type="dxa" w:w="5004"/>
          </w:tcPr>
          <w:p>
            <w:r>
              <w:rPr/>
              <w:t>从提交投标（响应）文件的截止之日起90日历天</w:t>
            </w:r>
          </w:p>
        </w:tc>
      </w:tr>
      <w:tr>
        <w:tc>
          <w:tcPr>
            <w:tcW w:type="dxa" w:w="1051"/>
          </w:tcPr>
          <w:p>
            <w:pPr>
              <w:jc w:val="center"/>
            </w:pPr>
            <w:r>
              <w:rPr/>
              <w:t>9</w:t>
            </w:r>
          </w:p>
        </w:tc>
        <w:tc>
          <w:tcPr>
            <w:tcW w:type="dxa" w:w="2252"/>
          </w:tcPr>
          <w:p>
            <w:r>
              <w:rPr/>
              <w:t>响应保证金</w:t>
            </w:r>
          </w:p>
        </w:tc>
        <w:tc>
          <w:tcPr>
            <w:tcW w:type="dxa" w:w="5004"/>
          </w:tcPr>
          <w:p/>
          <w:p>
            <w:r>
              <w:rPr/>
              <w:t>采购包1：保证金人民币：0.00元整。</w:t>
            </w:r>
          </w:p>
          <w:p>
            <w:r>
              <w:rPr/>
              <w:t>开户单位：</w:t>
            </w:r>
            <w:r>
              <w:rPr/>
              <w:t>无</w:t>
            </w:r>
          </w:p>
          <w:p>
            <w:r>
              <w:rPr/>
              <w:t>开户账号：</w:t>
            </w:r>
            <w:r>
              <w:rPr/>
              <w:t>无</w:t>
            </w:r>
          </w:p>
          <w:p>
            <w:r>
              <w:rPr/>
              <w:t>开户银行：</w:t>
            </w:r>
            <w:r>
              <w:rPr/>
              <w:t>无</w:t>
            </w:r>
          </w:p>
          <w:p>
            <w:r>
              <w:rPr/>
              <w:t>支票提交方式：</w:t>
            </w:r>
            <w:r>
              <w:rPr/>
              <w:t>无</w:t>
            </w:r>
          </w:p>
          <w:p>
            <w:r>
              <w:rPr/>
              <w:t>汇票、本票提交方式：</w:t>
            </w:r>
            <w:r>
              <w:rPr/>
              <w:t>无</w:t>
            </w:r>
          </w:p>
          <w:p/>
          <w:p>
            <w:r>
              <w:rPr/>
              <w:t>响应保证金有效期∶与响应有效期一致。</w:t>
            </w:r>
          </w:p>
          <w:p>
            <w:r>
              <w:rPr/>
              <w:t>响应保函提交方式：供应商可通过"广东政府采购智慧云平台金融服务中心"(http://gdgpo.czt.gd.gov.cn/zcdservice/zcd/guangdong/)，申请办理响应担保函、保险（保证）凭证，成功出函的等效于现金缴纳响应保证金。</w:t>
            </w:r>
          </w:p>
        </w:tc>
      </w:tr>
      <w:tr>
        <w:tc>
          <w:tcPr>
            <w:tcW w:type="dxa" w:w="1051"/>
          </w:tcPr>
          <w:p>
            <w:pPr>
              <w:jc w:val="center"/>
            </w:pPr>
            <w:r>
              <w:rPr/>
              <w:t>10</w:t>
            </w:r>
          </w:p>
        </w:tc>
        <w:tc>
          <w:tcPr>
            <w:tcW w:type="dxa" w:w="2252"/>
          </w:tcPr>
          <w:p>
            <w:r>
              <w:rPr/>
              <w:t>成交候选供应商推荐家数</w:t>
            </w:r>
          </w:p>
        </w:tc>
        <w:tc>
          <w:tcPr>
            <w:tcW w:type="dxa" w:w="5004"/>
          </w:tcPr>
          <w:p>
            <w:r>
              <w:rPr/>
              <w:t>采购包1：</w:t>
            </w:r>
            <w:r>
              <w:rPr/>
              <w:t>3家</w:t>
            </w:r>
          </w:p>
        </w:tc>
      </w:tr>
      <w:tr>
        <w:tc>
          <w:tcPr>
            <w:tcW w:type="dxa" w:w="1051"/>
          </w:tcPr>
          <w:p>
            <w:pPr>
              <w:jc w:val="center"/>
            </w:pPr>
            <w:r>
              <w:rPr/>
              <w:t>11</w:t>
            </w:r>
          </w:p>
        </w:tc>
        <w:tc>
          <w:tcPr>
            <w:tcW w:type="dxa" w:w="2252"/>
          </w:tcPr>
          <w:p>
            <w:r>
              <w:rPr/>
              <w:t>成交供应商家数</w:t>
            </w:r>
          </w:p>
        </w:tc>
        <w:tc>
          <w:tcPr>
            <w:tcW w:type="dxa" w:w="5004"/>
          </w:tcPr>
          <w:p>
            <w:r>
              <w:rPr/>
              <w:t>采购包1：</w:t>
            </w:r>
            <w:r>
              <w:rPr/>
              <w:t>1家</w:t>
            </w:r>
          </w:p>
        </w:tc>
      </w:tr>
      <w:tr>
        <w:tc>
          <w:tcPr>
            <w:tcW w:type="dxa" w:w="1051"/>
          </w:tcPr>
          <w:p>
            <w:pPr>
              <w:jc w:val="center"/>
            </w:pPr>
            <w:r>
              <w:rPr/>
              <w:t>12</w:t>
            </w:r>
          </w:p>
        </w:tc>
        <w:tc>
          <w:tcPr>
            <w:tcW w:type="dxa" w:w="2252"/>
          </w:tcPr>
          <w:p>
            <w:r>
              <w:rPr/>
              <w:t>有效供应商家数</w:t>
            </w:r>
          </w:p>
        </w:tc>
        <w:tc>
          <w:tcPr>
            <w:tcW w:type="dxa" w:w="5004"/>
          </w:tcPr>
          <w:p/>
          <w:p>
            <w:pPr>
              <w:jc w:val="left"/>
            </w:pPr>
          </w:p>
          <w:p>
            <w:r>
              <w:rPr/>
              <w:t>采购包1：3家</w:t>
            </w:r>
          </w:p>
          <w:p/>
          <w:p>
            <w:r>
              <w:rPr/>
              <w:t>此人数约定了开启与评审过程中的最低有效供应商家数，当家数不足时项目将不得开启、不得评审或直接终止采购。</w:t>
            </w:r>
          </w:p>
        </w:tc>
      </w:tr>
      <w:tr>
        <w:tc>
          <w:tcPr>
            <w:tcW w:type="dxa" w:w="1051"/>
          </w:tcPr>
          <w:p>
            <w:pPr>
              <w:jc w:val="center"/>
            </w:pPr>
            <w:r>
              <w:rPr/>
              <w:t>13</w:t>
            </w:r>
          </w:p>
        </w:tc>
        <w:tc>
          <w:tcPr>
            <w:tcW w:type="dxa" w:w="2252"/>
          </w:tcPr>
          <w:p>
            <w:r>
              <w:rPr/>
              <w:t>项目兼投兼中（兼投不兼中）规则</w:t>
            </w:r>
          </w:p>
        </w:tc>
        <w:tc>
          <w:tcPr>
            <w:tcW w:type="dxa" w:w="5004"/>
          </w:tcPr>
          <w:p>
            <w:r>
              <w:rPr/>
              <w:t>无：-</w:t>
            </w:r>
          </w:p>
        </w:tc>
      </w:tr>
      <w:tr>
        <w:tc>
          <w:tcPr>
            <w:tcW w:type="dxa" w:w="1051"/>
          </w:tcPr>
          <w:p>
            <w:pPr>
              <w:jc w:val="center"/>
            </w:pPr>
            <w:r>
              <w:rPr/>
              <w:t>14</w:t>
            </w:r>
          </w:p>
        </w:tc>
        <w:tc>
          <w:tcPr>
            <w:tcW w:type="dxa" w:w="2252"/>
          </w:tcPr>
          <w:p>
            <w:r>
              <w:rPr/>
              <w:t>成交供应商确定方式</w:t>
            </w:r>
          </w:p>
        </w:tc>
        <w:tc>
          <w:tcPr>
            <w:tcW w:type="dxa" w:w="5004"/>
          </w:tcPr>
          <w:p>
            <w:r>
              <w:rPr/>
              <w:t>采购人授权磋商小组按照评审原则直接确定中标（成交）人。</w:t>
            </w:r>
          </w:p>
        </w:tc>
      </w:tr>
      <w:tr>
        <w:tc>
          <w:tcPr>
            <w:tcW w:type="dxa" w:w="1051"/>
          </w:tcPr>
          <w:p>
            <w:pPr>
              <w:jc w:val="center"/>
            </w:pPr>
            <w:r>
              <w:rPr/>
              <w:t>15</w:t>
            </w:r>
          </w:p>
        </w:tc>
        <w:tc>
          <w:tcPr>
            <w:tcW w:type="dxa" w:w="2252"/>
          </w:tcPr>
          <w:p>
            <w:r>
              <w:rPr/>
              <w:t>代理服务费</w:t>
            </w:r>
          </w:p>
        </w:tc>
        <w:tc>
          <w:tcPr>
            <w:tcW w:type="dxa" w:w="5004"/>
          </w:tcPr>
          <w:p>
            <w:r>
              <w:rPr/>
              <w:t>收取。</w:t>
            </w:r>
          </w:p>
          <w:p>
            <w:r>
              <w:rPr/>
              <w:t>采购机构代理服务收费标准：招标代理服务费：贰万零肆佰贰拾壹元整。组织验收会议费用：壹万元。 收款单位名称：云浮市国御招标代理有限公司 账号：4405 0182 7138 0000 0261 开户银行：中国建设银行股份有限公司云浮兴云西分理处</w:t>
            </w:r>
          </w:p>
        </w:tc>
      </w:tr>
      <w:tr>
        <w:tc>
          <w:tcPr>
            <w:tcW w:type="dxa" w:w="1051"/>
          </w:tcPr>
          <w:p>
            <w:pPr>
              <w:jc w:val="center"/>
            </w:pPr>
            <w:r>
              <w:rPr/>
              <w:t>16</w:t>
            </w:r>
          </w:p>
        </w:tc>
        <w:tc>
          <w:tcPr>
            <w:tcW w:type="dxa" w:w="2252"/>
          </w:tcPr>
          <w:p>
            <w:r>
              <w:rPr/>
              <w:t>代理服务费收取方式</w:t>
            </w:r>
          </w:p>
        </w:tc>
        <w:tc>
          <w:tcPr>
            <w:tcW w:type="dxa" w:w="5004"/>
          </w:tcPr>
          <w:p>
            <w:r>
              <w:rPr/>
              <w:t>向中标/成交供应商收取</w:t>
            </w:r>
          </w:p>
        </w:tc>
      </w:tr>
      <w:tr>
        <w:tc>
          <w:tcPr>
            <w:tcW w:type="dxa" w:w="1051"/>
          </w:tcPr>
          <w:p>
            <w:pPr>
              <w:jc w:val="center"/>
            </w:pPr>
            <w:r>
              <w:rPr/>
              <w:t>17</w:t>
            </w:r>
          </w:p>
        </w:tc>
        <w:tc>
          <w:tcPr>
            <w:tcW w:type="dxa" w:w="2252"/>
          </w:tcPr>
          <w:p>
            <w:r>
              <w:rPr/>
              <w:t>响应文件要求</w:t>
            </w:r>
          </w:p>
        </w:tc>
        <w:tc>
          <w:tcPr>
            <w:tcW w:type="dxa" w:w="5004"/>
          </w:tcPr>
          <w:p>
            <w:pPr>
              <w:ind w:firstLine="480"/>
            </w:pPr>
            <w:r>
              <w:rPr>
                <w:b/>
              </w:rPr>
              <w:t>一、电子响应文件（必须提供）：</w:t>
            </w:r>
          </w:p>
          <w:p>
            <w:pPr>
              <w:ind w:firstLine="480"/>
            </w:pPr>
            <w:r>
              <w:rPr/>
              <w:t>（1）加密的电子响应文件 1 份（需在递交响应文件截止时间前成功上传至云平台项目采购系统）。</w:t>
            </w:r>
          </w:p>
          <w:p>
            <w:pPr>
              <w:ind w:firstLine="480"/>
            </w:pPr>
            <w:r>
              <w:rPr/>
              <w:t>（2）非加密电子版文件 U 盘(或光盘)</w:t>
            </w:r>
            <w:r>
              <w:rPr/>
              <w:t>1</w:t>
            </w:r>
            <w:r>
              <w:rPr/>
              <w:t>份，加密的电子响应文件与非加密的电子响应文件必须完全一致。</w:t>
            </w:r>
          </w:p>
          <w:p>
            <w:pPr>
              <w:ind w:firstLine="480"/>
            </w:pPr>
            <w:r>
              <w:rPr>
                <w:b/>
              </w:rPr>
              <w:t>非加密电子版响应文件使用情形:</w:t>
            </w:r>
            <w:r>
              <w:rPr/>
              <w:t>当无法使用 CA 证书在云平台项目采购系统进行电子响应文件开标解密时，供应商须在代理机构指引下启用非加密电子版响应文件。</w:t>
            </w:r>
          </w:p>
          <w:p>
            <w:pPr>
              <w:ind w:firstLine="480"/>
            </w:pPr>
            <w:r>
              <w:rPr>
                <w:b/>
              </w:rPr>
              <w:t>二、纸质投标文件（代理机构自行选择）：</w:t>
            </w:r>
            <w:r>
              <w:rPr/>
              <w:t>（3）纸质投标文件正本1份，纸质投标文件副本2份。纸质投标文件应与电子投标文件一致（递交的纸质文件需密封完好，注明“正本”和“副本”字样，正本和副本分别封装。如果正本与副本不符，应以正本为准。）。</w:t>
            </w:r>
            <w:r>
              <w:rPr>
                <w:b/>
              </w:rPr>
              <w:t>纸质投标文件使用情形：</w:t>
            </w:r>
            <w:r>
              <w:rPr/>
              <w:t>当项目采购系统出现故障，无法使用电子投标文件评标时，代理机构可根据云平台发布的通知指引，根据实际情况使用纸质投标文件评标。</w:t>
            </w:r>
            <w:r>
              <w:br/>
            </w:r>
            <w:r>
              <w:rPr/>
              <w:t>在电子投标文件能正常使用的情况下，不得因供应商未提交纸质投标文件而认定供应商投标无效。</w:t>
            </w:r>
          </w:p>
        </w:tc>
      </w:tr>
      <w:tr>
        <w:tc>
          <w:tcPr>
            <w:tcW w:type="dxa" w:w="1051"/>
          </w:tcPr>
          <w:p>
            <w:pPr>
              <w:jc w:val="center"/>
            </w:pPr>
            <w:r>
              <w:rPr/>
              <w:t>18</w:t>
            </w:r>
          </w:p>
        </w:tc>
        <w:tc>
          <w:tcPr>
            <w:tcW w:type="dxa" w:w="2252"/>
          </w:tcPr>
          <w:p>
            <w:r>
              <w:rPr/>
              <w:t>其他</w:t>
            </w:r>
          </w:p>
        </w:tc>
        <w:tc>
          <w:tcPr>
            <w:tcW w:type="dxa" w:w="5004"/>
          </w:tcPr>
          <w:p>
            <w:pPr>
              <w:jc w:val="left"/>
            </w:pPr>
            <w:r>
              <w:rPr/>
              <w:t>接收纸质投标文件时间，投标截止时间前三十分钟内</w:t>
            </w:r>
          </w:p>
        </w:tc>
      </w:tr>
      <w:tr>
        <w:tc>
          <w:tcPr>
            <w:tcW w:type="dxa" w:w="1051"/>
          </w:tcPr>
          <w:p>
            <w:pPr>
              <w:jc w:val="center"/>
            </w:pPr>
            <w:r>
              <w:rPr/>
              <w:t>19</w:t>
            </w:r>
          </w:p>
        </w:tc>
        <w:tc>
          <w:tcPr>
            <w:tcW w:type="dxa" w:w="2252"/>
          </w:tcPr>
          <w:p>
            <w:r>
              <w:rPr/>
              <w:t>开标解密时长</w:t>
            </w:r>
          </w:p>
        </w:tc>
        <w:tc>
          <w:tcPr>
            <w:tcW w:type="dxa" w:w="5004"/>
          </w:tcPr>
          <w:p>
            <w:r>
              <w:rPr/>
              <w:t>根据实际情况填写，具体情况根据开标时现场代理机构人员为准。</w:t>
            </w:r>
          </w:p>
          <w:p>
            <w:r>
              <w:rPr/>
              <w:t>说明：具体情况根据开标时现场代理机构人员设置为准</w:t>
            </w:r>
          </w:p>
        </w:tc>
      </w:tr>
      <w:tr>
        <w:tc>
          <w:tcPr>
            <w:tcW w:type="dxa" w:w="1051"/>
          </w:tcPr>
          <w:p>
            <w:pPr>
              <w:jc w:val="center"/>
            </w:pPr>
            <w:r>
              <w:rPr/>
              <w:t>20</w:t>
            </w:r>
          </w:p>
        </w:tc>
        <w:tc>
          <w:tcPr>
            <w:tcW w:type="dxa" w:w="2252"/>
          </w:tcPr>
          <w:p>
            <w:r>
              <w:rPr/>
              <w:t>专门面向中小企业采购</w:t>
            </w:r>
          </w:p>
        </w:tc>
        <w:tc>
          <w:tcPr>
            <w:tcW w:type="dxa" w:w="5004"/>
          </w:tcPr>
          <w:p>
            <w:pPr>
              <w:jc w:val="left"/>
            </w:pPr>
            <w:r>
              <w:rPr/>
              <w:t>采购包1：面向中小企业，采购包专门预留</w:t>
            </w:r>
          </w:p>
        </w:tc>
      </w:tr>
    </w:tbl>
    <w:p>
      <w:r>
        <w:rPr>
          <w:b/>
          <w:sz w:val="28"/>
        </w:rPr>
        <w:t>三、说明</w:t>
      </w:r>
    </w:p>
    <w:p>
      <w:r>
        <w:rPr>
          <w:b/>
          <w:sz w:val="24"/>
        </w:rPr>
        <w:t>1.总则</w:t>
      </w:r>
    </w:p>
    <w:p>
      <w:pPr>
        <w:ind w:firstLine="480"/>
      </w:pPr>
      <w:r>
        <w:rPr/>
        <w:t>本磋商文件依据《中华人民共和国政府采购法》、《中华人民共和国政府采购法实施条例》（国务院令第658号）和《政府采购竞争性磋商采购方式管理暂行办法》（财库〔2014〕214号）及国家和广东省有关法律、法规、规章制度编制。</w:t>
      </w:r>
    </w:p>
    <w:p>
      <w:pPr>
        <w:ind w:firstLine="480"/>
      </w:pPr>
      <w:r>
        <w:rPr/>
        <w:t>供应商应仔细阅读本项目信息公告及磋商文件的所有内容（包括变更、补充、澄清以及修改等，且均为磋商文件的组成部分），按照磋商文件要求以及格式编制响应文件，并保证其真实性，否则一切后果自负。</w:t>
      </w:r>
    </w:p>
    <w:p>
      <w:pPr>
        <w:ind w:firstLine="480"/>
      </w:pPr>
      <w:r>
        <w:rPr/>
        <w:t>本次竞争性磋商项目，是以磋商公告的方式邀请非特定的供应商参加磋商。</w:t>
      </w:r>
    </w:p>
    <w:p>
      <w:r>
        <w:rPr>
          <w:b/>
          <w:sz w:val="24"/>
        </w:rPr>
        <w:t>2.适用范围</w:t>
      </w:r>
    </w:p>
    <w:p>
      <w:pPr>
        <w:ind w:firstLine="480"/>
      </w:pPr>
      <w:r>
        <w:rPr/>
        <w:t>本磋商文件仅适用于本次磋商公告中所涉及的项目和内容。</w:t>
      </w:r>
    </w:p>
    <w:p>
      <w:r>
        <w:rPr>
          <w:b/>
          <w:sz w:val="24"/>
        </w:rPr>
        <w:t>3.进口产品</w:t>
      </w:r>
    </w:p>
    <w:p>
      <w:pPr>
        <w:ind w:firstLine="480"/>
      </w:pPr>
      <w:r>
        <w:rPr/>
        <w:t>若本项目允许采购进口产品，供应商应保证所投产品可履行合法报通关手续进入中国关境内。</w:t>
      </w:r>
    </w:p>
    <w:p>
      <w:pPr>
        <w:ind w:firstLine="480"/>
      </w:pPr>
      <w:r>
        <w:rPr/>
        <w:t>若本项目不允许采购进口产品，如供应商所投产品为进口产品，其响应将被认定为响应无效。</w:t>
      </w:r>
    </w:p>
    <w:p>
      <w:r>
        <w:rPr>
          <w:b/>
          <w:sz w:val="24"/>
        </w:rPr>
        <w:t>4.磋商费用</w:t>
      </w:r>
    </w:p>
    <w:p>
      <w:pPr>
        <w:ind w:firstLine="480"/>
      </w:pPr>
      <w:r>
        <w:rPr/>
        <w:t>不论磋商结果如何，供应商应承担所有与准备和参加磋商有关的费用。采购代理机构和采购人均无义务和责任承担相关费用。</w:t>
      </w:r>
    </w:p>
    <w:p>
      <w:r>
        <w:rPr>
          <w:b/>
          <w:sz w:val="24"/>
        </w:rPr>
        <w:t>5.以联合体形式磋商的，应符合以下规定：</w:t>
      </w:r>
    </w:p>
    <w:p>
      <w:pPr>
        <w:ind w:firstLine="480"/>
      </w:pPr>
      <w:r>
        <w:rPr/>
        <w:t>5.1联合体各方均应当满足《中华人民共和国政府采购法》第二十二条规定的条件，并在响应文件中提供联合体各方的相关证明材料。</w:t>
      </w:r>
    </w:p>
    <w:p>
      <w:pPr>
        <w:ind w:firstLine="480"/>
      </w:pPr>
      <w:r>
        <w:rPr/>
        <w:t>5.2联合体各方之间应签订联合体协议书并在响应文件中提交，明确约定联合体各方承担的工作和相应的责任。联合体各方签订联合体协议书后，不得再以自己名义单独在同一项目中响应，也不得组成新的联合体参加同一项目响应，若违反规定则其参与的所有响应将视为无效响应。</w:t>
      </w:r>
    </w:p>
    <w:p>
      <w:pPr>
        <w:ind w:firstLine="480"/>
      </w:pPr>
      <w:r>
        <w:rPr/>
        <w:t>5.3联合体应以联合协议中确定的牵头方名义登录云平台项目采购系统进行项目响应，录入联合体所有成员单位的全称并使用成员单位的电子印章进行联投确认，联合体名称需与联合体协议书签署方一致。对于需交响应保证金的，以牵头方名义缴纳。</w:t>
      </w:r>
    </w:p>
    <w:p>
      <w:pPr>
        <w:ind w:firstLine="480"/>
      </w:pPr>
      <w:r>
        <w:rPr/>
        <w:t>5.4联合体成员存在不良信用记录的，视同联合体存在不良信用记录。</w:t>
      </w:r>
    </w:p>
    <w:p>
      <w:pPr>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ind w:firstLine="480"/>
      </w:pPr>
      <w:r>
        <w:rPr/>
        <w:t>5.6联合体各方应当共同与采购人签订采购合同，就合同约定的事项对采购人承担连带责任。</w:t>
      </w:r>
    </w:p>
    <w:p>
      <w:r>
        <w:rPr>
          <w:b/>
          <w:sz w:val="24"/>
        </w:rPr>
        <w:t>6.关联企业响应说明</w:t>
      </w:r>
    </w:p>
    <w:p>
      <w:pPr>
        <w:ind w:firstLine="480"/>
      </w:pPr>
      <w:r>
        <w:rPr/>
        <w:t>6.1对于不接受联合体响应的采购项目（采购包）：法定代表人或单位负责人为同一个人或者存在直接控股、管理关系的不同供应商，不得同时参加同一项目或同一采购包的响应。如同时参加，则评审时将同时被拒绝。</w:t>
      </w:r>
    </w:p>
    <w:p>
      <w:pPr>
        <w:ind w:firstLine="480"/>
      </w:pPr>
      <w:r>
        <w:rPr/>
        <w:t>6.2对于接受联合体响应的采购项目（采购包）：除联合体外，法定代表人或单位负责人为同一个人或者存在直接控股、管理关系的不同供应商，不得同时参加同一项目或同一采购包的响应。如同时参加，则评审时将同时被拒绝。</w:t>
      </w:r>
    </w:p>
    <w:p>
      <w:r>
        <w:rPr>
          <w:b/>
          <w:sz w:val="24"/>
        </w:rPr>
        <w:t>7.关于中小微企业响应</w:t>
      </w:r>
    </w:p>
    <w:p>
      <w:pPr>
        <w:ind w:firstLine="480"/>
      </w:pPr>
      <w:r>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tab/>
        <w:tab/>
        <w:t xml:space="preserve"> 中小企业划分见《关于印发中小企业划型标准规定的通知》（工信部联企业〔2011〕300号) 。</w:t>
      </w:r>
    </w:p>
    <w:p>
      <w:pPr>
        <w:ind w:firstLine="480"/>
      </w:pPr>
      <w:r>
        <w:rPr/>
        <w:t>根据财库〔2014〕68号《财政部</w:t>
        <w:tab/>
        <w:tab/>
        <w:t xml:space="preserve">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产建设兵团)出具的属于监狱企业的证明文件，不再提供《中小企业声明函》。</w:t>
      </w:r>
    </w:p>
    <w:p>
      <w:pPr>
        <w:ind w:firstLine="480"/>
      </w:pPr>
      <w:r>
        <w:rPr/>
        <w:t>根据财库〔2017〕141号《财政部 民政部</w:t>
        <w:tab/>
        <w:tab/>
        <w:t xml:space="preserve"> 中国残疾人联合会关于促进残疾人就业政府采购政策的通知》，在政府采购活动中，残疾人福利性单位视同小型、微型企业，享受政府采购支持政策的残疾人福利性单位应当同时满足《财政部 民政部</w:t>
        <w:tab/>
        <w:tab/>
        <w:t xml:space="preserve">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r>
        <w:rPr>
          <w:b/>
          <w:sz w:val="24"/>
        </w:rPr>
        <w:t>8.纪律与保密事项</w:t>
      </w:r>
    </w:p>
    <w:p>
      <w:pPr>
        <w:ind w:firstLine="480"/>
      </w:pPr>
      <w:r>
        <w:rPr/>
        <w:t>8.1供应商不得相互串通磋商报价，不得妨碍其他供应商的公平竞争，不得损害采购人或其他供应商的合法权益，供应商不得以向采购人、磋商小组成员行贿或者采取其他不正当手段谋取成交。</w:t>
      </w:r>
    </w:p>
    <w:p>
      <w:pPr>
        <w:ind w:firstLine="480"/>
      </w:pPr>
      <w:r>
        <w:rPr/>
        <w:t>8.2供应商不得与采购人就响应价格、响应方案等实质性内容进行磋商，也不得私下接触磋商小组成员。</w:t>
      </w:r>
    </w:p>
    <w:p>
      <w:pPr>
        <w:ind w:firstLine="480"/>
      </w:pPr>
      <w:r>
        <w:rPr/>
        <w:t>8.3在确定成交供应商之前，供应商试图在响应文件审查、澄清、比较和评价时对磋商小组、采购人和采购代理机构施加任何影响都可能导致其响应无效。</w:t>
      </w:r>
    </w:p>
    <w:p>
      <w:pPr>
        <w:ind w:firstLine="480"/>
      </w:pPr>
      <w:r>
        <w:rPr/>
        <w:t>8.4获得本磋商文件者，须履行本磋商项目下保密义务，不得将因本次磋商获得的信息向第三人外传，不得将磋商文件用作本次响应以外的任何用途。</w:t>
      </w:r>
    </w:p>
    <w:p>
      <w:pPr>
        <w:ind w:firstLine="480"/>
      </w:pPr>
      <w:r>
        <w:rPr/>
        <w:t>8.5由采购人向供应商提供的图纸、详细资料、样品、模型、模件和所有其它资料，均为保密资料，仅被用于它所规定的用途。除非得到采购人的同意，不能向任何第三方透露。开启结束后，应采购人要求，供应商应归还所有从采购人处获得的保密资料。</w:t>
      </w:r>
    </w:p>
    <w:p>
      <w:pPr>
        <w:ind w:firstLine="480"/>
      </w:pPr>
      <w:r>
        <w:rPr/>
        <w:t>8.6采购人或采购代理机构有权将供应商提供的所有资料向有关政府部门或询价小组披露。</w:t>
      </w:r>
    </w:p>
    <w:p>
      <w:pPr>
        <w:ind w:firstLine="480"/>
      </w:pPr>
      <w:r>
        <w:rPr/>
        <w:t>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r>
        <w:rPr>
          <w:b/>
          <w:sz w:val="24"/>
        </w:rPr>
        <w:t>9.语言文字以及度量衡单位</w:t>
      </w:r>
    </w:p>
    <w:p>
      <w:pPr>
        <w:ind w:firstLine="480"/>
      </w:pPr>
      <w:r>
        <w:rPr/>
        <w:t>9.1除磋商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ind w:firstLine="480"/>
      </w:pPr>
      <w:r>
        <w:rPr/>
        <w:t>9.2除非磋商文件的技术规格中另有规定，供应商在响应文件中及其与采购人和采购代理机构的所有往来文件中的计量单位均应采用中华人民共和国法定计量单位。</w:t>
      </w:r>
    </w:p>
    <w:p>
      <w:pPr>
        <w:ind w:firstLine="480"/>
      </w:pPr>
      <w:r>
        <w:rPr/>
        <w:t>9.3供应商所提供的货物和服务均应以人民币报价，货币单位：元。</w:t>
      </w:r>
    </w:p>
    <w:p>
      <w:r>
        <w:rPr>
          <w:b/>
          <w:sz w:val="24"/>
        </w:rPr>
        <w:t>10. 现场踏勘（如有）</w:t>
      </w:r>
    </w:p>
    <w:p>
      <w:pPr>
        <w:ind w:firstLine="480"/>
      </w:pPr>
      <w:r>
        <w:rPr/>
        <w:t>10.1磋商文件规定组织踏勘现场的，采购人按磋商文件规定的时间、地点组织供应商踏勘项目现场。</w:t>
      </w:r>
    </w:p>
    <w:p>
      <w:pPr>
        <w:ind w:firstLine="480"/>
      </w:pPr>
      <w:r>
        <w:rPr/>
        <w:t>10.2供应商自行承担踏勘现场发生的责任、风险和自身费用。</w:t>
      </w:r>
    </w:p>
    <w:p>
      <w:pPr>
        <w:ind w:firstLine="480"/>
      </w:pPr>
      <w:r>
        <w:rPr/>
        <w:t>10.3采购人在踏勘现场中介绍的资料和数据等，不构成对磋商文件的修改或不作为供应商编制响应文件的依据。</w:t>
      </w:r>
    </w:p>
    <w:p>
      <w:r>
        <w:rPr>
          <w:b/>
          <w:sz w:val="28"/>
        </w:rPr>
        <w:t>四、磋商文件的澄清和修改</w:t>
      </w:r>
    </w:p>
    <w:p>
      <w:pPr>
        <w:ind w:firstLine="480"/>
      </w:pPr>
      <w:r>
        <w:rPr/>
        <w:t>1.采购代理机构对磋商文件进行必要的澄清或者修改的，在指定媒体上发布更正公告。澄清或者修改的内容可能影响响应文件编制的，更正公告在递交响应文件截止时间至少5日前发出；不足5日的，代理机构顺延提交响应文件截止时间。</w:t>
      </w:r>
    </w:p>
    <w:p>
      <w:pPr>
        <w:ind w:firstLine="480"/>
      </w:pPr>
      <w:r>
        <w:rPr/>
        <w:t>2.更正公告及其所发布的内容或信息（包括但不限于：磋商文件的澄清或修改、现场考察或答疑会的有关事宜等）作为磋商文件的组成部分，对供应商具有约束力。一经在指定媒体上发布后，更正公告将作为通知所有磋商文件收受人的书面形式。</w:t>
      </w:r>
    </w:p>
    <w:p>
      <w:pPr>
        <w:ind w:firstLine="480"/>
      </w:pPr>
      <w:r>
        <w:rPr/>
        <w:t>3.如更正公告有重新发布电子磋商文件的，供应商应登录云平台项目采购系统下载最新发布的电子磋商文件制作响应文件。</w:t>
      </w:r>
    </w:p>
    <w:p>
      <w:pPr>
        <w:ind w:firstLine="480"/>
      </w:pPr>
      <w:r>
        <w:rPr/>
        <w:t>4.供应商在规定的时间内未对磋商文件提出疑问、质疑或要求澄清的，将视其为无异议。对磋商文件中描述有歧义或前后不一致的地方，磋商小组有权进行评判，但对同一条款的评判应适用于每个供应商。</w:t>
      </w:r>
    </w:p>
    <w:p>
      <w:r>
        <w:rPr>
          <w:b/>
          <w:sz w:val="28"/>
        </w:rPr>
        <w:t>五、响应要求</w:t>
      </w:r>
    </w:p>
    <w:p>
      <w:r>
        <w:rPr>
          <w:b/>
          <w:sz w:val="24"/>
        </w:rPr>
        <w:t>1.响应登记</w:t>
      </w:r>
    </w:p>
    <w:p>
      <w:pPr>
        <w:ind w:firstLine="480"/>
      </w:pPr>
      <w:r>
        <w:rPr/>
        <w:t>供应商应从广东省政府采购网（https://gdgpo.czt.gd.gov.cn/）上广东政府采购智慧云平台（以下简称“云平台”）的政府采购供应商入口进行免费注册并点击登录进入项目采购系统完成项目响应登记并在线获取磋商文件（未按上述方式获取磋商文件的供应商，其响应资格将被视为无效）。</w:t>
      </w:r>
    </w:p>
    <w:p>
      <w:r>
        <w:rPr>
          <w:b/>
          <w:sz w:val="24"/>
        </w:rPr>
        <w:t>2.响应文件的制作</w:t>
      </w:r>
    </w:p>
    <w:p>
      <w:pPr>
        <w:ind w:firstLine="480"/>
      </w:pPr>
      <w:r>
        <w:rPr/>
        <w:t>2.1响应文件中，所有内容均以电子文件编制，其格式要求详见第六章说明。如因不按要求编制导致系统无法检索、读取相关信息时，其后果由供应商承担。由于本项目采用电子化投标，请充分考虑设备、网络环境、人员对系统熟悉度等因素，合理安排响应文件制作、提交时间，建议至少提前一天完成制作、提交工作。</w:t>
      </w:r>
    </w:p>
    <w:p>
      <w:pPr>
        <w:ind w:firstLine="480"/>
      </w:pPr>
      <w:r>
        <w:rPr/>
        <w:t>2.2供应商应使用云平台提供的投标客户端编制、标记、加密响应文件，成功加密后将生成指定格式的电子响应文件和电子备用响应文件。所有响应文件不能进行压缩处理。关于电子磋商报价说明如下：</w:t>
      </w:r>
    </w:p>
    <w:p>
      <w:pPr>
        <w:ind w:firstLine="480"/>
      </w:pPr>
      <w:r>
        <w:rPr/>
        <w:t>（1）供应商应按照“第二章采购需求”的需求内容、责任范围以及合同条款进行报价。并按“首轮报价表”和“分项报价表”规定的格式报出总价和分项价格。磋商总价中不得包含磋商文件要求以外的内容，否则，在评审时不予核减。</w:t>
      </w:r>
    </w:p>
    <w:p>
      <w:pPr>
        <w:ind w:firstLine="480"/>
      </w:pPr>
      <w:r>
        <w:rPr/>
        <w:t>（2）磋商报价包括本项目采购需求和投入使用的所有费用，包括但不限于主件、标准附件、备品备件、施工、服务、专用工具、安装、调试、检验、培训、运输、保险、税款等。</w:t>
      </w:r>
    </w:p>
    <w:p>
      <w:pPr>
        <w:ind w:firstLine="480"/>
      </w:pPr>
      <w:r>
        <w:rPr/>
        <w:t>（3）磋商报价不得有选择性报价和附有条件的报价，否则将导致响应无效。</w:t>
      </w:r>
    </w:p>
    <w:p>
      <w:pPr>
        <w:ind w:firstLine="480"/>
      </w:pPr>
      <w:r>
        <w:rPr/>
        <w:t>2.3如有对多个采购包响应的，要对每个采购包独立制作电子响应文件。</w:t>
      </w:r>
    </w:p>
    <w:p>
      <w:pPr>
        <w:ind w:firstLine="480"/>
      </w:pPr>
      <w:r>
        <w:rPr/>
        <w:t>2.4供应商不得将同一个项目或同一个采购包的内容拆开响应，否则其报价将被视为非实质性响应。</w:t>
      </w:r>
    </w:p>
    <w:p>
      <w:pPr>
        <w:ind w:firstLine="480"/>
      </w:pPr>
      <w:r>
        <w:rPr/>
        <w:t>2.5供应商须对磋商文件的对应要求给予唯一的实质性响应，否则将视为不响应。</w:t>
      </w:r>
    </w:p>
    <w:p>
      <w:pPr>
        <w:ind w:firstLine="480"/>
      </w:pPr>
      <w:r>
        <w:rPr/>
        <w:t>2.6磋商文件中，凡标有“★”的地方均为实质性响应条款，供应商若有一项带“★”的条款未响应或不满足，将按无效响应处理。</w:t>
      </w:r>
    </w:p>
    <w:p>
      <w:pPr>
        <w:ind w:firstLine="480"/>
      </w:pPr>
      <w:r>
        <w:rPr/>
        <w:t>2.7供应商必须按磋商文件指定的格式填写各种报价，各报价应计算正确。除在磋商文件另有规定外（如：报折扣、报优惠率等），计量单位应使用中华人民共和国法定计量单位，以人民币填报所有报价。</w:t>
      </w:r>
    </w:p>
    <w:p>
      <w:pPr>
        <w:ind w:firstLine="480"/>
      </w:pPr>
      <w:r>
        <w:rPr/>
        <w:t>2.8响应文件以及供应商与采购人、代理机构就有关响应的往来函电均应使用中文。供应商提交的支持性文件和印制的文件可以用另一种语言，但相应内容应翻译成中文，在解释响应文件时以中文文本为准。</w:t>
      </w:r>
    </w:p>
    <w:p>
      <w:pPr>
        <w:ind w:firstLine="480"/>
      </w:pPr>
      <w:r>
        <w:rPr/>
        <w:t>2.9供应商应按磋商文件的规定及附件要求的内容和格式完整地填写和提供资料。供应商必须对响应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r>
        <w:rPr>
          <w:b/>
          <w:sz w:val="24"/>
        </w:rPr>
        <w:t>3.响应文件的提交</w:t>
      </w:r>
    </w:p>
    <w:p>
      <w:pPr>
        <w:ind w:firstLine="480"/>
      </w:pPr>
      <w:r>
        <w:rPr/>
        <w:t>3.1在响应文件提交截止时间前，供应商须将电子响应文件成功完整上传到云平台项目采购系统，且取得响应回执。时间以云平台项目采购系统服务器从中国科学院国家授时中心取得的北京时间为准，递交响应文件截止时间结束后，系统将不允许供应商上传响应文件，已上传响应文件但未完成传输的文件系统将拒绝接收。</w:t>
      </w:r>
    </w:p>
    <w:p>
      <w:pPr>
        <w:ind w:firstLine="480"/>
      </w:pPr>
      <w:r>
        <w:rPr/>
        <w:t>3.2代理机构对因不可抗力事件造成的响应文件的损坏、丢失的，不承担责任。</w:t>
      </w:r>
    </w:p>
    <w:p>
      <w:pPr>
        <w:ind w:firstLine="480"/>
      </w:pPr>
      <w:r>
        <w:rPr/>
        <w:t>3.3出现下述情形之一，属于未成功提交响应文件，按无效响应处理：</w:t>
      </w:r>
    </w:p>
    <w:p>
      <w:pPr>
        <w:ind w:firstLine="480"/>
      </w:pPr>
      <w:r>
        <w:rPr/>
        <w:t>（1）至提交响应文件截止时，响应文件未完整上传并取得响应回执的。</w:t>
      </w:r>
    </w:p>
    <w:p>
      <w:pPr>
        <w:ind w:firstLine="480"/>
      </w:pPr>
      <w:r>
        <w:rPr/>
        <w:t>（2）响应文件未按响应格式中注明需签字盖章的要求进行签名（含电子签名）和加盖电子印章，或签名（含电子签名）或电子印章不完整的。</w:t>
      </w:r>
    </w:p>
    <w:p>
      <w:pPr>
        <w:ind w:firstLine="480"/>
      </w:pPr>
      <w:r>
        <w:rPr/>
        <w:t>（3）响应文件损坏或格式不正确的。</w:t>
      </w:r>
    </w:p>
    <w:p>
      <w:r>
        <w:rPr>
          <w:b/>
          <w:sz w:val="24"/>
        </w:rPr>
        <w:t>4.响应文件的修改、撤回与撤销</w:t>
      </w:r>
    </w:p>
    <w:p>
      <w:pPr>
        <w:ind w:firstLine="480"/>
      </w:pPr>
      <w:r>
        <w:rPr/>
        <w:t>4.1在提交响应文件截止时间前，供应商可以修改或撤回未解密的电子响应文件，并于提交响应文件截止时间前将修改后重新生成的电子响应文件上传至系统，到达响应文件提交截止时间后，将不允许修改或撤回。</w:t>
      </w:r>
    </w:p>
    <w:p>
      <w:pPr>
        <w:ind w:firstLine="480"/>
      </w:pPr>
      <w:r>
        <w:rPr/>
        <w:t>4.2在提交响应文件截止时间后，供应商不得补充、修改和更换响应文件。</w:t>
      </w:r>
    </w:p>
    <w:p>
      <w:r>
        <w:rPr>
          <w:b/>
          <w:sz w:val="24"/>
        </w:rPr>
        <w:t>5.响应文件的解密</w:t>
      </w:r>
    </w:p>
    <w:p>
      <w:pPr>
        <w:ind w:firstLine="480"/>
      </w:pPr>
      <w:r>
        <w:rPr/>
        <w:t>到达开启时间后，供应商需携带并使用制作该响应文件的同一数字证书参加开启解密，供应商须在采购代理机构规定的时间内完成响应文件解密，供应商未携带数字证书或其他非系统原因导致的逾期未解密响应文件，将作无效响应处理。</w:t>
      </w:r>
    </w:p>
    <w:p>
      <w:r>
        <w:rPr>
          <w:b/>
          <w:sz w:val="24"/>
        </w:rPr>
        <w:t>6.响应保证金</w:t>
      </w:r>
    </w:p>
    <w:p>
      <w:pPr>
        <w:ind w:firstLine="480"/>
      </w:pPr>
      <w:r>
        <w:rPr/>
        <w:t>6.1响应保证金的缴纳</w:t>
      </w:r>
    </w:p>
    <w:p>
      <w:pPr>
        <w:ind w:firstLine="480"/>
      </w:pPr>
      <w:r>
        <w:rPr/>
        <w:t>供应商在提交响应文件的同时，应按供应商须知前附表规定的金额和缴纳要求缴纳响应保证金，并作为其响应文件的组成部分。</w:t>
      </w:r>
    </w:p>
    <w:p>
      <w:pPr>
        <w:ind w:firstLine="480"/>
      </w:pPr>
      <w:r>
        <w:rPr/>
        <w:t>如采用转账、支票、本票、汇票形式提交的，响应保证金从供应商基本账户递交，由</w:t>
      </w:r>
      <w:r>
        <w:rPr/>
        <w:t>云浮市国御招标代理有限公司</w:t>
      </w:r>
      <w:r>
        <w:rPr/>
        <w:t>代收。具体操作要求详见</w:t>
      </w:r>
      <w:r>
        <w:rPr/>
        <w:t>云浮市国御招标代理有限公司</w:t>
      </w:r>
      <w:r>
        <w:rPr/>
        <w:t>有关指引，递交事宜请自行咨询</w:t>
      </w:r>
      <w:r>
        <w:rPr/>
        <w:t>云浮市国御招标代理有限公司</w:t>
      </w:r>
      <w:r>
        <w:rPr/>
        <w:t>；请各供应商在响应文件递交截止时间前按须知前附表规定的金额递交至</w:t>
      </w:r>
      <w:r>
        <w:rPr/>
        <w:t>云浮市国御招标代理有限公司</w:t>
      </w:r>
      <w:r>
        <w:rPr/>
        <w:t>，到账情况以开启时</w:t>
      </w:r>
      <w:r>
        <w:rPr/>
        <w:t>云浮市国御招标代理有限公司</w:t>
      </w:r>
      <w:r>
        <w:rPr/>
        <w:t>查询的信息为准。</w:t>
      </w:r>
    </w:p>
    <w:p>
      <w:pPr>
        <w:ind w:firstLine="480"/>
      </w:pPr>
      <w:r>
        <w:rPr/>
        <w:t>如采用金融机构、专业担保机构开具的响应保函、响应保证保险函等形式提交响应保证金的，响应保函或响应保证保险函须开具给采购人（保险受益人须为采购人），并与响应文件一同递交。</w:t>
      </w:r>
    </w:p>
    <w:p>
      <w:pPr>
        <w:ind w:firstLine="480"/>
      </w:pPr>
      <w:r>
        <w:rPr/>
        <w:t>供应商可通过"广东政府采购智慧云平台金融服务中心"(https://gdgpo.czt.gd.gov.cn/zcdservice/zcd/guangdong/)，申请办理电子保函，电子保函与纸质保函具有同样效力。</w:t>
      </w:r>
    </w:p>
    <w:p>
      <w:pPr>
        <w:ind w:firstLine="480"/>
      </w:pPr>
      <w:r>
        <w:rPr/>
        <w:t>注意事项：供应商通过线下方式缴纳保证金（转账、支票、汇票、本票、纸质保函）的，需准备缴纳凭证的扫描件作为核验凭证；通过电子保函形式缴纳保证金的，如遇开启或评审现场无法拉取电子保函信息时，可提供电子保函打印件或购买凭证作为核验凭证。相关凭证应上传至系统归档保存。</w:t>
      </w:r>
    </w:p>
    <w:p>
      <w:pPr>
        <w:ind w:firstLine="480"/>
      </w:pPr>
      <w:r>
        <w:rPr/>
        <w:t>6.2响应保证金的退还：</w:t>
      </w:r>
    </w:p>
    <w:p>
      <w:pPr>
        <w:ind w:firstLine="480"/>
      </w:pPr>
      <w:r>
        <w:rPr/>
        <w:t>（1）供应商在递交响应文件截止时间前放弃响应的，自所投采购包结果公告发出后5个工作日内退还。</w:t>
      </w:r>
    </w:p>
    <w:p>
      <w:pPr>
        <w:ind w:firstLine="480"/>
      </w:pPr>
      <w:r>
        <w:rPr/>
        <w:t>（2）未成交的供应商保证金，在成交供应商发出后5个工作日内原额退还。</w:t>
      </w:r>
    </w:p>
    <w:p>
      <w:pPr>
        <w:ind w:firstLine="480"/>
      </w:pPr>
      <w:r>
        <w:rPr/>
        <w:t>（3）成交供应商的响应保证金,在成交供应商与采购人签订采购合同后5个工作日内原额退还。</w:t>
      </w:r>
    </w:p>
    <w:p>
      <w:pPr>
        <w:ind w:firstLine="480"/>
      </w:pPr>
      <w:r>
        <w:rPr/>
        <w:t>备注：但因供应商自身原因导致无法及时退还的除外。</w:t>
      </w:r>
    </w:p>
    <w:p>
      <w:pPr>
        <w:ind w:firstLine="480"/>
      </w:pPr>
      <w:r>
        <w:rPr/>
        <w:t>6.3有下列情形之一的，响应保证金将不予退还并上缴国库：</w:t>
      </w:r>
    </w:p>
    <w:p>
      <w:pPr>
        <w:ind w:firstLine="480"/>
      </w:pPr>
      <w:r>
        <w:rPr/>
        <w:t>（1）提供虚假材料谋取成交的；</w:t>
      </w:r>
    </w:p>
    <w:p>
      <w:pPr>
        <w:ind w:firstLine="480"/>
      </w:pPr>
      <w:r>
        <w:rPr/>
        <w:t>（2）供应商在磋商文件规定的响应有效期内撤销其响应；</w:t>
      </w:r>
    </w:p>
    <w:p>
      <w:pPr>
        <w:ind w:firstLine="480"/>
      </w:pPr>
      <w:r>
        <w:rPr/>
        <w:t>（3）成交后，无正当理由放弃成交资格；</w:t>
      </w:r>
    </w:p>
    <w:p>
      <w:pPr>
        <w:ind w:firstLine="480"/>
      </w:pPr>
      <w:r>
        <w:rPr/>
        <w:t>（4）成交后，无正当理由不与采购人签订合同；</w:t>
      </w:r>
    </w:p>
    <w:p>
      <w:pPr>
        <w:ind w:firstLine="480"/>
      </w:pPr>
      <w:r>
        <w:rPr/>
        <w:t>（5）法律法规和磋商文件规定的其他情形。</w:t>
      </w:r>
    </w:p>
    <w:p>
      <w:r>
        <w:rPr>
          <w:b/>
          <w:sz w:val="24"/>
        </w:rPr>
        <w:t>7.响应有效期</w:t>
      </w:r>
    </w:p>
    <w:p>
      <w:pPr>
        <w:ind w:firstLine="480"/>
      </w:pPr>
      <w:r>
        <w:rPr/>
        <w:t>7.1响应有效期内供应商撤销响应文件的，采购人或者采购代理机构可以不退还响应保证金（如有）。采用响应保函方式替代保证金的，采购人或者采购代理机构可以向担保机构索赔保证金。</w:t>
      </w:r>
    </w:p>
    <w:p>
      <w:pPr>
        <w:ind w:firstLine="480"/>
      </w:pPr>
      <w:r>
        <w:rPr/>
        <w:t>7.2出现特殊情况需延长响应有效期的，采购人或采购代理机构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或者采购代理机构应提示响应供应商重新开函，未获得有效保函的响应供应商其响应将会被视为无效。</w:t>
      </w:r>
    </w:p>
    <w:p>
      <w:r>
        <w:rPr>
          <w:b/>
          <w:sz w:val="24"/>
        </w:rPr>
        <w:t>8.样品（演示）</w:t>
      </w:r>
    </w:p>
    <w:p>
      <w:pPr>
        <w:ind w:firstLine="480"/>
      </w:pPr>
      <w:r>
        <w:rPr/>
        <w:t>8.1磋商文件规定供应商提交样品的，样品属于响应文件的组成部分。样品的生产、运输、安装、保全等一切费用由供应商自理。</w:t>
      </w:r>
    </w:p>
    <w:p>
      <w:pPr>
        <w:ind w:firstLine="480"/>
      </w:pPr>
      <w:r>
        <w:rPr/>
        <w:t>8.2递交响应文件截止时间前，供应商应将样品送达至指定地点。若需要现场演示的，供应商应提前做好演示准备（包括演示设备）。</w:t>
      </w:r>
    </w:p>
    <w:p>
      <w:pPr>
        <w:ind w:firstLine="480"/>
      </w:pPr>
      <w:r>
        <w:rPr/>
        <w:t>8.3采购结果公告发布后，成交供应商的样品由采购人封存，作为履约验收的依据之一。未成交供应商在接到采购代理机构通知后，应按规定时间尽快自行取回样品，否则视同供应商不再认领，代理机构有权进行处理。</w:t>
      </w:r>
    </w:p>
    <w:p>
      <w:r>
        <w:rPr>
          <w:b/>
          <w:sz w:val="24"/>
        </w:rPr>
        <w:t>9.除磋商文件另有规定外，有下列情形之一的，响应无效：</w:t>
      </w:r>
    </w:p>
    <w:p>
      <w:pPr>
        <w:ind w:firstLine="480"/>
      </w:pPr>
      <w:r>
        <w:rPr/>
        <w:t>9.1响应文件未按照磋商文件要求签署、盖章；</w:t>
      </w:r>
    </w:p>
    <w:p>
      <w:pPr>
        <w:ind w:firstLine="480"/>
      </w:pPr>
      <w:r>
        <w:rPr/>
        <w:t>9.2不符合磋商文件中规定的资格要求；</w:t>
      </w:r>
    </w:p>
    <w:p>
      <w:pPr>
        <w:ind w:firstLine="480"/>
      </w:pPr>
      <w:r>
        <w:rPr/>
        <w:t>9.3磋商报价超过磋商文件中规定的预算金额或最高限价；</w:t>
      </w:r>
    </w:p>
    <w:p>
      <w:pPr>
        <w:ind w:firstLine="480"/>
      </w:pPr>
      <w:r>
        <w:rPr/>
        <w:t>9.4响应文件含有采购人不能接受的附加条件；</w:t>
      </w:r>
    </w:p>
    <w:p>
      <w:pPr>
        <w:ind w:firstLine="480"/>
      </w:pPr>
      <w:r>
        <w:rPr/>
        <w:t>9.5有关法律、法规和规章及磋商文件规定的其他无效情形。</w:t>
      </w:r>
    </w:p>
    <w:p>
      <w:r>
        <w:rPr>
          <w:b/>
          <w:sz w:val="28"/>
        </w:rPr>
        <w:t>六、磋商、评审和结果确定</w:t>
      </w:r>
    </w:p>
    <w:p>
      <w:r>
        <w:rPr>
          <w:b/>
          <w:sz w:val="24"/>
        </w:rPr>
        <w:t>1.响应文件的开启</w:t>
      </w:r>
    </w:p>
    <w:p>
      <w:pPr>
        <w:ind w:firstLine="480"/>
      </w:pPr>
      <w:r>
        <w:rPr/>
        <w:t>1.1开启程序</w:t>
      </w:r>
    </w:p>
    <w:p>
      <w:pPr>
        <w:ind w:firstLine="480"/>
      </w:pPr>
      <w:r>
        <w:rPr/>
        <w:t>工作人员按磋商公告规定的时间进行开启，由采购人或者采购代理机构工作人员宣布供应商名称、解密情况和磋商文件规定的需要宣布的其他内容。开启分为现场电子开启和远程电子开启两种。</w:t>
      </w:r>
    </w:p>
    <w:p>
      <w:pPr>
        <w:ind w:firstLine="480"/>
      </w:pPr>
      <w:r>
        <w:rPr/>
        <w:t>采用现场电子开启的：供应商的法定代表人或其委托代理人应当按照本磋商公告载明的时间和地点前往参加开启，并携带编制本项目（采购包）电子响应文件时加密所用的数字证书、存储有备用电子响应文件的U盘前往开启现场。</w:t>
      </w:r>
    </w:p>
    <w:p>
      <w:pPr>
        <w:ind w:firstLine="480"/>
      </w:pPr>
      <w:r>
        <w:rPr/>
        <w:t>采用远程电子开启的：供应商的法定代表人或其授权代表应当按照本磋商公告载明的时间和模式等要求参加开启。在递交响应文件截止时间前30分钟，应当登录云平台开标大厅进行签到，并且填写授权代表的姓名与手机号码。若因签到时填写的授权代表信息有误而导致的不良后果，由供应商自行承担。</w:t>
      </w:r>
    </w:p>
    <w:p>
      <w:pPr>
        <w:ind w:firstLine="480"/>
      </w:pPr>
      <w:r>
        <w:rPr/>
        <w:t>开启时，供应商应当使用编制本项目（采购包）电子响应文件时加密所用数字证书在开始解密后按照代理机构规定的时间内完成电子响应文件的解密，如遇不可抗力等其他特殊情况，采购代理机构可视情况延长解密时间。供应商未携带数字证书或其他非系统原因导致的在规定时间内未解密响应文件，将作无效响应处理。（采用远程电子开启的，各供应商在参加开启以前须自行对使用电脑的网络环境、驱动安装、客户端安装以及数字证书的有效性等进行检测，确保可以正常使用）。</w:t>
      </w:r>
    </w:p>
    <w:p>
      <w:pPr>
        <w:ind w:firstLine="480"/>
      </w:pPr>
      <w:r>
        <w:rPr/>
        <w:t>如在电子开启过程中出现无法正常解密的，代理机构可根据实际情况开启上传备用电子响应文件通道。系统将对上传的备用电子响应文件的合法性进行验证，若发现提交的备用电子响应文件与加密的电子响应文件版本不一致（即两份文件不是通过投标客户端同时加密生成的），系统将拒绝接收，视为无效响应。如供应商无法在代理规定的时间内完成备用电子响应文件的上传，响应将被拒绝，作无效响应处理。</w:t>
      </w:r>
    </w:p>
    <w:p>
      <w:pPr>
        <w:ind w:firstLine="480"/>
      </w:pPr>
      <w:r>
        <w:rPr/>
        <w:t>1.2异议</w:t>
      </w:r>
    </w:p>
    <w:p>
      <w:pPr>
        <w:ind w:firstLine="480"/>
      </w:pPr>
      <w:r>
        <w:rPr/>
        <w:t>供应商代表对开启过程和开启记录有疑义，以及认为采购人、采购代理机构相关工作人员有需要回避的情形的，应当场提出询问或者回避申请。供应商未参加开启的，视同认可开启结果。</w:t>
      </w:r>
    </w:p>
    <w:p>
      <w:pPr>
        <w:ind w:firstLine="480"/>
      </w:pPr>
      <w:r>
        <w:rPr/>
        <w:t>1.3开启时出现下列情况的，视为响应无效处理</w:t>
      </w:r>
    </w:p>
    <w:p>
      <w:pPr>
        <w:ind w:firstLine="480"/>
      </w:pPr>
      <w:r>
        <w:rPr/>
        <w:t>（1）经检查数字证书无效的；</w:t>
      </w:r>
    </w:p>
    <w:p>
      <w:pPr>
        <w:ind w:firstLine="480"/>
      </w:pPr>
      <w:r>
        <w:rPr/>
        <w:t>（2）因供应商自身原因，未在规定时间内完成电子响应文件解密的；</w:t>
      </w:r>
    </w:p>
    <w:p>
      <w:pPr>
        <w:ind w:firstLine="480"/>
      </w:pPr>
      <w:r>
        <w:rPr/>
        <w:t>（3）如需使用备用电子响应文件解密时，在规定的解密时间内无法提供备用电子响应文件或提供的备用电子响应文件与加密的电子响应文件版本不一致（即两份文件不是通过投标客户端同时加密生成的）。</w:t>
      </w:r>
    </w:p>
    <w:p>
      <w:r>
        <w:rPr>
          <w:b/>
          <w:sz w:val="24"/>
        </w:rPr>
        <w:t>2.评审（详见第四章）</w:t>
      </w:r>
    </w:p>
    <w:p>
      <w:r>
        <w:rPr>
          <w:b/>
          <w:sz w:val="24"/>
        </w:rPr>
        <w:t>3.成交</w:t>
      </w:r>
    </w:p>
    <w:p>
      <w:pPr>
        <w:ind w:firstLine="480"/>
      </w:pPr>
      <w:r>
        <w:rPr/>
        <w:t>3.1成交结果公告：</w:t>
      </w:r>
    </w:p>
    <w:p>
      <w:pPr>
        <w:ind w:firstLine="480"/>
      </w:pPr>
      <w:r>
        <w:rPr/>
        <w:t>成交供应商确定之日起2个工作日内，采购人或采购代理机构将在中国政府采购网(www.ccgp.gov.cn)、广东省政府采购网(https://gdgpo.czt.gd.gov.cn/)、</w:t>
      </w:r>
      <w:r>
        <w:rPr/>
        <w:t>www.yfgyzb.com</w:t>
      </w:r>
      <w:r>
        <w:rPr/>
        <w:t>上以公告的形式发布成交结果，结果公告的公告期限为</w:t>
        <w:tab/>
        <w:tab/>
        <w:t xml:space="preserve"> 1 个工作日。结果公告同时作为采购代理机构通知除成交供应商外的其他供应商没有成交的书面形式，采购代理机构不再以其它方式另行通知。</w:t>
      </w:r>
    </w:p>
    <w:p>
      <w:pPr>
        <w:ind w:firstLine="480"/>
      </w:pPr>
      <w:r>
        <w:rPr/>
        <w:t>3.2成交通知书：</w:t>
      </w:r>
    </w:p>
    <w:p>
      <w:pPr>
        <w:ind w:firstLine="480"/>
      </w:pPr>
      <w:r>
        <w:rPr/>
        <w:t>采购人或采购代理机构在发布结果公告时，在云平台同步发送至成交供应商。成交供应商可在云平台自行下载打印《成交通知书》，《成交通知书》将作为授予合同资格的唯一合法依据。成交通知书发出后，采购人不得违法改变成交结果，成交供应商不得放弃成交。成交供应商放弃成交的，应当依法承担相应的法律责任。</w:t>
      </w:r>
    </w:p>
    <w:p>
      <w:pPr>
        <w:ind w:firstLine="480"/>
      </w:pPr>
      <w:r>
        <w:rPr/>
        <w:t>3.3终止公告：</w:t>
      </w:r>
    </w:p>
    <w:p>
      <w:pPr>
        <w:ind w:firstLine="480"/>
      </w:pPr>
      <w:r>
        <w:rPr/>
        <w:t>终止磋商采购活动后，采购人或采购代理机构将在中国政府采购网(www.ccgp.gov.cn)、广东省政府采购网(https://gdgpo.czt.gd.gov.cn/)、</w:t>
      </w:r>
      <w:r>
        <w:rPr/>
        <w:t>www.yfgyzb.com</w:t>
      </w:r>
      <w:r>
        <w:rPr/>
        <w:t>上发布终止公告，终止公告的公告期限为</w:t>
        <w:tab/>
        <w:tab/>
        <w:t xml:space="preserve"> 1 个工作日。</w:t>
      </w:r>
    </w:p>
    <w:p>
      <w:r>
        <w:rPr>
          <w:b/>
          <w:sz w:val="28"/>
        </w:rPr>
        <w:t>七、询问、质疑与投诉</w:t>
      </w:r>
    </w:p>
    <w:p>
      <w:r>
        <w:rPr>
          <w:b/>
          <w:sz w:val="24"/>
        </w:rPr>
        <w:t>1.询问</w:t>
      </w:r>
    </w:p>
    <w:p>
      <w:pPr>
        <w:ind w:firstLine="480"/>
      </w:pPr>
      <w:r>
        <w:rPr/>
        <w:t>供应商对政府采购活动事项（磋商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响应邀请函》中“采购人、采购代理机构的名称、地址和联系方式”。</w:t>
      </w:r>
    </w:p>
    <w:p>
      <w:r>
        <w:rPr>
          <w:b/>
          <w:sz w:val="24"/>
        </w:rPr>
        <w:t>2.质疑</w:t>
      </w:r>
    </w:p>
    <w:p>
      <w:pPr>
        <w:ind w:firstLine="480"/>
      </w:pPr>
      <w:r>
        <w:rPr/>
        <w:t>2.1供应商认为磋商文件、采购过程和成交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ind w:firstLine="480"/>
      </w:pPr>
      <w:r>
        <w:rPr/>
        <w:t>（1）对磋商文件提出质疑的，为获取磋商文件之日或者磋商文件公告期限届满之日；</w:t>
      </w:r>
    </w:p>
    <w:p>
      <w:pPr>
        <w:ind w:firstLine="480"/>
      </w:pPr>
      <w:r>
        <w:rPr/>
        <w:t>（2）对采购过程提出质疑的，为各采购程序环节结束之日；</w:t>
      </w:r>
    </w:p>
    <w:p>
      <w:pPr>
        <w:ind w:firstLine="480"/>
      </w:pPr>
      <w:r>
        <w:rPr/>
        <w:t>（3）对成交结果提出质疑的，为成交结果公告期限届满之日。</w:t>
      </w:r>
    </w:p>
    <w:p>
      <w:pPr>
        <w:ind w:firstLine="480"/>
      </w:pPr>
      <w:r>
        <w:rPr/>
        <w:t>2.2质疑函应当包括下列主要内容：</w:t>
      </w:r>
    </w:p>
    <w:p>
      <w:pPr>
        <w:ind w:firstLine="480"/>
      </w:pPr>
      <w:r>
        <w:rPr/>
        <w:t>（1）质疑供应商和相关供应商的名称、地址、邮编、联系人及联系电话等；</w:t>
      </w:r>
    </w:p>
    <w:p>
      <w:pPr>
        <w:ind w:firstLine="480"/>
      </w:pPr>
      <w:r>
        <w:rPr/>
        <w:t>（2）质疑项目名称及编号、具体明确的质疑事项和与质疑事项相关的请求；</w:t>
      </w:r>
    </w:p>
    <w:p>
      <w:pPr>
        <w:ind w:firstLine="480"/>
      </w:pPr>
      <w:r>
        <w:rPr/>
        <w:t>（3）认为磋商文件、采购过程和成交结果使自己的合法权益受到损害的法律依据、事实依据、相关证明材料及证据来源；</w:t>
      </w:r>
    </w:p>
    <w:p>
      <w:pPr>
        <w:ind w:firstLine="480"/>
      </w:pPr>
      <w:r>
        <w:rPr/>
        <w:t>（4）提出质疑的日期。</w:t>
      </w:r>
    </w:p>
    <w:p>
      <w:pPr>
        <w:ind w:firstLine="480"/>
      </w:pPr>
      <w:r>
        <w:rPr/>
        <w:t>2.3质疑函应当署名。质疑供应商为自然人的，应当由本人签字；质疑供应商为法人或者其他组织的，应当由法定代表人、主要负责人，或者其授权代表签字或者盖章，并加盖公章。</w:t>
      </w:r>
    </w:p>
    <w:p>
      <w:pPr>
        <w:ind w:firstLine="480"/>
      </w:pPr>
      <w:r>
        <w:rPr/>
        <w:t>2.4以联合体形式参加政府采购活动的，其质疑应当由联合体成员委托主体提出。</w:t>
      </w:r>
    </w:p>
    <w:p>
      <w:pPr>
        <w:ind w:firstLine="480"/>
      </w:pPr>
      <w:r>
        <w:rPr/>
        <w:t>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ind w:firstLine="480"/>
      </w:pPr>
      <w:r>
        <w:rPr/>
        <w:t>2.6质疑联系方式如下：</w:t>
      </w:r>
    </w:p>
    <w:p>
      <w:pPr>
        <w:ind w:firstLine="480"/>
      </w:pPr>
      <w:r>
        <w:rPr/>
        <w:t>质疑联系人：</w:t>
      </w:r>
      <w:r>
        <w:rPr/>
        <w:t>罗小姐</w:t>
      </w:r>
    </w:p>
    <w:p>
      <w:pPr>
        <w:ind w:firstLine="480"/>
      </w:pPr>
      <w:r>
        <w:rPr/>
        <w:t>电话：</w:t>
      </w:r>
      <w:r>
        <w:rPr/>
        <w:t>0766-8108331</w:t>
      </w:r>
    </w:p>
    <w:p>
      <w:pPr>
        <w:ind w:firstLine="480"/>
      </w:pPr>
      <w:r>
        <w:rPr/>
        <w:t>传真：</w:t>
      </w:r>
      <w:r>
        <w:rPr/>
        <w:t>/</w:t>
      </w:r>
    </w:p>
    <w:p>
      <w:pPr>
        <w:ind w:firstLine="480"/>
      </w:pPr>
      <w:r>
        <w:rPr/>
        <w:t>邮箱：</w:t>
      </w:r>
      <w:r>
        <w:rPr/>
        <w:t>guoyu8108331@163.com</w:t>
      </w:r>
    </w:p>
    <w:p>
      <w:pPr>
        <w:ind w:firstLine="480"/>
      </w:pPr>
      <w:r>
        <w:rPr/>
        <w:t>地址：</w:t>
      </w:r>
      <w:r>
        <w:rPr/>
        <w:t>广东省云浮市云城区市区金山大道130号三楼</w:t>
      </w:r>
    </w:p>
    <w:p>
      <w:pPr>
        <w:ind w:firstLine="480"/>
      </w:pPr>
      <w:r>
        <w:rPr/>
        <w:t>邮编：</w:t>
      </w:r>
      <w:r>
        <w:rPr/>
        <w:t>527300</w:t>
      </w:r>
    </w:p>
    <w:p>
      <w:r>
        <w:rPr>
          <w:b/>
          <w:sz w:val="24"/>
        </w:rPr>
        <w:t>3.投诉</w:t>
      </w:r>
    </w:p>
    <w:p>
      <w:pPr>
        <w:ind w:firstLine="480"/>
      </w:pPr>
      <w:r>
        <w:rPr/>
        <w:t>质疑人对采购人或采购代理机构的质疑答复不满意或在规定时间内未得到答复的，可以在答复期满后15个工作日内，按如下联系方式向本项目监督管理部门提起投诉。</w:t>
      </w:r>
    </w:p>
    <w:p>
      <w:pPr>
        <w:ind w:firstLine="480"/>
      </w:pPr>
    </w:p>
    <w:p>
      <w:r>
        <w:rPr/>
        <w:t>政府采购监督管理机构名称：云浮市云安区财政局政府采购监管股</w:t>
      </w:r>
    </w:p>
    <w:p>
      <w:r>
        <w:rPr/>
        <w:t>地  址：云浮市云安区白沙塘行政区</w:t>
      </w:r>
    </w:p>
    <w:p>
      <w:r>
        <w:rPr/>
        <w:t>电  话：0766-8638173</w:t>
      </w:r>
    </w:p>
    <w:p>
      <w:r>
        <w:rPr/>
        <w:t>邮  编：527500</w:t>
      </w:r>
    </w:p>
    <w:p>
      <w:r>
        <w:rPr/>
        <w:t>传  真：-</w:t>
      </w:r>
    </w:p>
    <w:p/>
    <w:p>
      <w:r>
        <w:rPr>
          <w:b/>
          <w:sz w:val="28"/>
        </w:rPr>
        <w:t>八、合同签订和履行</w:t>
      </w:r>
    </w:p>
    <w:p>
      <w:r>
        <w:rPr>
          <w:b/>
          <w:sz w:val="24"/>
        </w:rPr>
        <w:t>1.合同签订</w:t>
      </w:r>
    </w:p>
    <w:p>
      <w:pPr>
        <w:ind w:firstLine="480"/>
      </w:pPr>
      <w:r>
        <w:rPr/>
        <w:t>1.1采购人应当自《成交通知书》发出之日起三十日内，按照磋商文件和成交供应商响应文件的约定，与成交供应商签订合同。所签订的合同不得对磋商文件和成交供应商响应文件作实质性修改。</w:t>
      </w:r>
    </w:p>
    <w:p>
      <w:pPr>
        <w:ind w:firstLine="480"/>
      </w:pPr>
      <w:r>
        <w:rPr/>
        <w:t>1.2采购人不得提出试用合格等任何不合理的要求作为签订合同的条件，且不得与成交供应商私下订立背离合同实质性内容的协议。</w:t>
      </w:r>
    </w:p>
    <w:p>
      <w:pPr>
        <w:ind w:firstLine="480"/>
      </w:pPr>
      <w:r>
        <w:rPr/>
        <w:t>1.3采购人应当自政府采购合同签订之日起2个工作日内，将政府采购合同在省级以上人民政府财政部门指定的媒体上公告，但政府采购合同中涉及国家秘密、商业秘密的内容除外。</w:t>
      </w:r>
    </w:p>
    <w:p>
      <w:pPr>
        <w:ind w:firstLine="480"/>
      </w:pPr>
      <w:r>
        <w:rPr/>
        <w:t>1.4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r>
        <w:rPr>
          <w:b/>
          <w:sz w:val="24"/>
        </w:rPr>
        <w:t>2.合同的履行</w:t>
      </w:r>
    </w:p>
    <w:p>
      <w:pPr>
        <w:ind w:firstLine="480"/>
      </w:pPr>
      <w:r>
        <w:rPr/>
        <w:t>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ind w:firstLine="480"/>
      </w:pPr>
      <w:r>
        <w:rPr/>
        <w:t>2.2政府采购合同履行中，采购人需追加与合同标的相同的货物、工程或者服务的，在不改变合同其他条款的前提下，可以与成交供应商签订补充合同，但所补充合同的采购金额不得超过原采购金额的10%。依法签订的补充合同，也应在补充合同签订之日起2个工作日内登录广东省政府采购网上传备案。</w:t>
      </w:r>
    </w:p>
    <w:p>
      <w:pPr>
        <w:ind w:firstLine="480"/>
      </w:pPr>
    </w:p>
    <w:p>
      <w:r>
        <w:rPr/>
        <w:t xml:space="preserve"> </w:t>
      </w:r>
    </w:p>
    <w:p/>
    <w:p>
      <w:pPr>
        <w:jc w:val="center"/>
      </w:pPr>
      <w:r>
        <w:rPr>
          <w:b/>
          <w:sz w:val="36"/>
        </w:rPr>
        <w:t>第四章 评审</w:t>
      </w:r>
    </w:p>
    <w:p>
      <w:r>
        <w:rPr>
          <w:b/>
          <w:sz w:val="28"/>
        </w:rPr>
        <w:t>一、评审要求</w:t>
      </w:r>
    </w:p>
    <w:p>
      <w:r>
        <w:rPr>
          <w:b/>
          <w:sz w:val="24"/>
        </w:rPr>
        <w:t>1.评审方法</w:t>
      </w:r>
    </w:p>
    <w:p>
      <w:pPr>
        <w:ind w:firstLine="480"/>
      </w:pPr>
    </w:p>
    <w:p/>
    <w:p>
      <w:r>
        <w:rPr/>
        <w:t>采购包1(云浮市云安区档案馆配套库房（简易库房）建设采购项目)：综合评分法,是指响应文件满足磋商文件全部实质性要求，且按照评审因素的量化指标评审得分最高的投标人为成交候选人的评标方法。（最低报价不是成交的唯一依据。）</w:t>
      </w:r>
    </w:p>
    <w:p/>
    <w:p>
      <w:r>
        <w:rPr>
          <w:b/>
          <w:sz w:val="24"/>
        </w:rPr>
        <w:t>2.评审原则</w:t>
      </w:r>
    </w:p>
    <w:p>
      <w:pPr>
        <w:ind w:firstLine="480"/>
      </w:pPr>
      <w:r>
        <w:rPr/>
        <w:t>2.1评审活动遵循公平、公正、科学和择优的原则，以磋商文件和响应文件为评审的基本依据，并按照磋商文件规定的评审方法和评审标准进行评审。</w:t>
      </w:r>
    </w:p>
    <w:p>
      <w:pPr>
        <w:ind w:firstLine="480"/>
      </w:pPr>
      <w:r>
        <w:rPr/>
        <w:t>2.2具体评审事项由磋商小组负责，并按磋商文件的规定办法进行评审。对磋商文件中描述有歧义或前后不一致的地方，磋商小组有权按法律法规的规定进行评判，但对同一条款的评判应适用于每个响应供应商。</w:t>
      </w:r>
    </w:p>
    <w:p>
      <w:r>
        <w:rPr>
          <w:b/>
          <w:sz w:val="24"/>
        </w:rPr>
        <w:t>3.磋商小组</w:t>
      </w:r>
    </w:p>
    <w:p>
      <w:pPr>
        <w:ind w:firstLine="480"/>
      </w:pPr>
      <w:r>
        <w:rPr/>
        <w:t>3.1磋商小组由采购人代表和评审专家组成，成员人数应当为3人及以上单数，其中技术、经济等方面的评审专家不得少于成员总数的三分之二。</w:t>
      </w:r>
    </w:p>
    <w:p>
      <w:pPr>
        <w:ind w:firstLine="480"/>
      </w:pPr>
      <w:r>
        <w:rPr/>
        <w:t>3.2评审应遵守下列评审纪律：</w:t>
      </w:r>
    </w:p>
    <w:p>
      <w:pPr>
        <w:ind w:firstLine="480"/>
      </w:pPr>
      <w:r>
        <w:rPr/>
        <w:t>（1）评审情况不得私自外泄，有关信息由</w:t>
      </w:r>
      <w:r>
        <w:rPr/>
        <w:t>云浮市国御招标代理有限公司</w:t>
      </w:r>
      <w:r>
        <w:rPr/>
        <w:t>统一对外发布。</w:t>
      </w:r>
    </w:p>
    <w:p>
      <w:pPr>
        <w:ind w:firstLine="480"/>
      </w:pPr>
      <w:r>
        <w:rPr/>
        <w:t>（2）对</w:t>
      </w:r>
      <w:r>
        <w:rPr/>
        <w:t>云浮市国御招标代理有限公司</w:t>
      </w:r>
      <w:r>
        <w:rPr/>
        <w:t>或供应商提供的要求保密的资料，不得摘记翻印和外传。</w:t>
      </w:r>
    </w:p>
    <w:p>
      <w:pPr>
        <w:ind w:firstLine="480"/>
      </w:pPr>
      <w:r>
        <w:rPr/>
        <w:t>（3）不得收受响应供应商或有关人员的任何礼物，不得串联鼓动其他人袒护某供应商。若与供应商存在利害关系，则应主动声明并回避。</w:t>
      </w:r>
    </w:p>
    <w:p>
      <w:pPr>
        <w:ind w:firstLine="480"/>
      </w:pPr>
      <w:r>
        <w:rPr/>
        <w:t>（4）全体评委应按照磋商文件规定进行评审，一切认定事项应查有实据且不得弄虚作假。</w:t>
      </w:r>
    </w:p>
    <w:p>
      <w:pPr>
        <w:ind w:firstLine="480"/>
      </w:pPr>
      <w:r>
        <w:rPr/>
        <w:t>（5）磋商小组各成员应当独立对每个响应供应商的响应文件进行评价，并对评价意见承担个人责任。评审过程中，不得发表倾向性言论。</w:t>
      </w:r>
    </w:p>
    <w:p>
      <w:pPr>
        <w:ind w:firstLine="480"/>
      </w:pPr>
      <w:r>
        <w:rPr/>
        <w:t>※对违反评审纪律的评委，将取消其评委资格，对评审工作造成严重损失者将予以通报批评乃至追究法律责任。</w:t>
      </w:r>
    </w:p>
    <w:p>
      <w:r>
        <w:rPr>
          <w:b/>
          <w:sz w:val="24"/>
        </w:rPr>
        <w:t>4.有下列情形之一的，视为供应商串通响应，其响应无效</w:t>
      </w:r>
    </w:p>
    <w:p>
      <w:pPr>
        <w:ind w:firstLine="480"/>
      </w:pPr>
      <w:r>
        <w:rPr/>
        <w:t>4.1不同供应商的响应文件由同一单位或者个人编制；</w:t>
      </w:r>
    </w:p>
    <w:p>
      <w:pPr>
        <w:ind w:firstLine="480"/>
      </w:pPr>
      <w:r>
        <w:rPr/>
        <w:t>4.2不同供应商委托同一单位或者个人办理响应事宜；</w:t>
      </w:r>
    </w:p>
    <w:p>
      <w:pPr>
        <w:ind w:firstLine="480"/>
      </w:pPr>
      <w:r>
        <w:rPr/>
        <w:t>4.3不同供应商的响应文件载明的项目管理成员或者联系人员为同一人；</w:t>
      </w:r>
    </w:p>
    <w:p>
      <w:pPr>
        <w:ind w:firstLine="480"/>
      </w:pPr>
      <w:r>
        <w:rPr/>
        <w:t>4.4不同供应商的响应文件异常一致或者响应报价呈规律性差异；</w:t>
      </w:r>
    </w:p>
    <w:p>
      <w:pPr>
        <w:ind w:firstLine="480"/>
      </w:pPr>
      <w:r>
        <w:rPr/>
        <w:t>4.5不同供应商的响应文件相互混装；</w:t>
      </w:r>
    </w:p>
    <w:p>
      <w:pPr>
        <w:ind w:firstLine="480"/>
      </w:pPr>
      <w:r>
        <w:rPr/>
        <w:t>4.6不同供应商的响应保证金或购买电子保函支付款为从同一单位或个人的账户转出。</w:t>
      </w:r>
    </w:p>
    <w:p>
      <w:pPr>
        <w:ind w:firstLine="480"/>
      </w:pPr>
      <w:r>
        <w:rPr/>
        <w:t>4.7供应商上传的电子响应文件使用该项目其他响应供应商的数字证书加密的或加盖该项目的其他响应供应商的电子印章的。</w:t>
      </w:r>
    </w:p>
    <w:p>
      <w:pPr>
        <w:ind w:firstLine="480"/>
      </w:pPr>
      <w:r>
        <w:rPr/>
        <w:t xml:space="preserve"> 说明：在评审过程中发现供应商有上述情形的，磋商小组应当认定其响应无效。同时，项目评审时被认定为串通响应的供应商不得参加该合同项下的采购活动。</w:t>
      </w:r>
    </w:p>
    <w:p>
      <w:r>
        <w:rPr>
          <w:b/>
          <w:sz w:val="24"/>
        </w:rPr>
        <w:t>5.有下列情形之一的，属于恶意串通响应：</w:t>
      </w:r>
    </w:p>
    <w:p>
      <w:pPr>
        <w:ind w:firstLine="480"/>
      </w:pPr>
      <w:r>
        <w:rPr/>
        <w:t>（1）供应商直接或者间接从采购人或者采购代理机构处获得其他供应商的相关情况并修改其响应文件；</w:t>
      </w:r>
    </w:p>
    <w:p>
      <w:pPr>
        <w:ind w:firstLine="480"/>
      </w:pPr>
      <w:r>
        <w:rPr/>
        <w:t>（2）供应商按照采购人或者采购代理机构的授意撤换、修改响应文件；</w:t>
      </w:r>
    </w:p>
    <w:p>
      <w:pPr>
        <w:ind w:firstLine="480"/>
      </w:pPr>
      <w:r>
        <w:rPr/>
        <w:t>（3）供应商之间协商报价、技术方案等响应文件的实质性内容；</w:t>
      </w:r>
    </w:p>
    <w:p>
      <w:pPr>
        <w:ind w:firstLine="480"/>
      </w:pPr>
      <w:r>
        <w:rPr/>
        <w:t>（4）属于同一集团、协会、商会等组织成员的供应商按照该组织要求协同参加政府采购活动；</w:t>
      </w:r>
    </w:p>
    <w:p>
      <w:pPr>
        <w:ind w:firstLine="480"/>
      </w:pPr>
      <w:r>
        <w:rPr/>
        <w:t>（5）供应商之间事先约定由某一特定供应商成交；</w:t>
      </w:r>
    </w:p>
    <w:p>
      <w:pPr>
        <w:ind w:firstLine="480"/>
      </w:pPr>
      <w:r>
        <w:rPr/>
        <w:t>（6）供应商之间商定部分供应商放弃参加政府采购活动或者放弃成交；</w:t>
      </w:r>
    </w:p>
    <w:p>
      <w:pPr>
        <w:ind w:firstLine="480"/>
      </w:pPr>
      <w:r>
        <w:rPr/>
        <w:t>（7）供应商与采购人或者采购代理机构之间、供应商相互之间，为谋求特定供应商成交或者排斥其他供应商的其他串通行为。</w:t>
      </w:r>
    </w:p>
    <w:p>
      <w:r>
        <w:rPr>
          <w:b/>
          <w:sz w:val="24"/>
        </w:rPr>
        <w:t>6.其他响应无效的情形</w:t>
      </w:r>
    </w:p>
    <w:p>
      <w:pPr>
        <w:ind w:firstLine="480"/>
      </w:pPr>
      <w:r>
        <w:rPr/>
        <w:t>详见资格性审查、符合性审查和磋商文件其他响应无效条款。</w:t>
      </w:r>
    </w:p>
    <w:p>
      <w:r>
        <w:rPr>
          <w:b/>
          <w:sz w:val="24"/>
        </w:rPr>
        <w:t>7.终止竞争性磋商采购活动的情形</w:t>
      </w:r>
    </w:p>
    <w:p>
      <w:pPr>
        <w:ind w:firstLine="480"/>
      </w:pPr>
      <w:r>
        <w:rPr/>
        <w:t>出现下列情形之一的，采购人或者采购代理机构应当终止竞争性磋商采购活动，发布项目终止公告并说明原因，重新开展采购活动：</w:t>
      </w:r>
    </w:p>
    <w:p>
      <w:pPr>
        <w:ind w:firstLine="480"/>
      </w:pPr>
      <w:r>
        <w:rPr/>
        <w:t>（1）因情况变化，不再符合规定的竞争性磋商采购方式适用情形的；</w:t>
      </w:r>
    </w:p>
    <w:p>
      <w:pPr>
        <w:ind w:firstLine="480"/>
      </w:pPr>
      <w:r>
        <w:rPr/>
        <w:t>（2）出现影响采购公正的违法、违规行为的；</w:t>
      </w:r>
    </w:p>
    <w:p>
      <w:pPr>
        <w:ind w:firstLine="480"/>
      </w:pPr>
      <w:r>
        <w:rPr/>
        <w:t>（3）除《政府采购竞争性磋商采购方式暂行办法》第二十一条第三款，《财政部关于政府采购竞争性磋商采购方式管理暂行办法有关问题的补充通知》（财库〔2015〕124号）规定的情形外，在采购过程中符合要求的供应商或者报价未超过采购预算的供应商不足3家的；</w:t>
      </w:r>
    </w:p>
    <w:p>
      <w:pPr>
        <w:ind w:firstLine="480"/>
      </w:pPr>
      <w:r>
        <w:rPr/>
        <w:t>（4）法律、法规以及磋商文件规定其他情形。</w:t>
      </w:r>
    </w:p>
    <w:p>
      <w:r>
        <w:rPr>
          <w:b/>
          <w:sz w:val="24"/>
        </w:rPr>
        <w:t>8.确定成交供应商</w:t>
      </w:r>
    </w:p>
    <w:p>
      <w:pPr>
        <w:ind w:firstLine="480"/>
      </w:pPr>
      <w:r>
        <w:rPr/>
        <w:t>磋商小组按照磋商文件确定的评审方法、步骤、标准，对响应文件进行评审。评审结束后，对供应商的评审名次进行排序，确定成交供应商或者推荐成交候选供应商。</w:t>
      </w:r>
    </w:p>
    <w:p>
      <w:r>
        <w:rPr>
          <w:b/>
          <w:sz w:val="24"/>
        </w:rPr>
        <w:t>9.价格修正</w:t>
      </w:r>
    </w:p>
    <w:p>
      <w:pPr>
        <w:ind w:firstLine="480"/>
      </w:pPr>
      <w:r>
        <w:rPr/>
        <w:t>对报价的计算错误按以下原则修正：</w:t>
      </w:r>
    </w:p>
    <w:p>
      <w:pPr>
        <w:ind w:firstLine="480"/>
      </w:pPr>
      <w:r>
        <w:rPr/>
        <w:t>（1）响应文件中首轮报价表（报价表）内容与响应文件中相应内容不一致的，以首轮报价表（报价表）为准；</w:t>
      </w:r>
    </w:p>
    <w:p>
      <w:pPr>
        <w:ind w:firstLine="480"/>
      </w:pPr>
      <w:r>
        <w:rPr/>
        <w:t>（2）大写金额和小写金额不一致的，以大写金额为准；</w:t>
      </w:r>
    </w:p>
    <w:p>
      <w:pPr>
        <w:ind w:firstLine="480"/>
      </w:pPr>
      <w:r>
        <w:rPr/>
        <w:t>（3）单价金额小数点或者百分比有明显错位的，以首轮报价表的总价为准，并修改单价；</w:t>
      </w:r>
    </w:p>
    <w:p>
      <w:pPr>
        <w:ind w:firstLine="480"/>
      </w:pPr>
      <w:r>
        <w:rPr/>
        <w:t>（4）总价金额与按单价汇总金额不一致的，以单价金额计算结果为准。但是单价金额计算结果超过预算价的，对其按无效响应处理；</w:t>
      </w:r>
    </w:p>
    <w:p>
      <w:pPr>
        <w:ind w:firstLine="480"/>
      </w:pPr>
      <w:r>
        <w:rPr/>
        <w:t>（5）若投标客户端上传的电子报价数据与电子响应文件价格不一致的，以电子报价数据为准。</w:t>
      </w:r>
    </w:p>
    <w:p>
      <w:pPr>
        <w:ind w:firstLine="480"/>
      </w:pPr>
      <w:r>
        <w:rPr/>
        <w:t>注：同时出现两种以上不一致的，按照前款规定的顺序在系统上进行价格澄清。供应商澄清后的价格加盖电子印章确认后产生约束力，但不得超出响应文件的范围或者改变响应文件的实质性内容，供应商不确认的，其响应无效。</w:t>
      </w:r>
    </w:p>
    <w:p>
      <w:r>
        <w:rPr>
          <w:b/>
          <w:sz w:val="28"/>
        </w:rPr>
        <w:t>二.政府采购政策落实</w:t>
      </w:r>
    </w:p>
    <w:p>
      <w:r>
        <w:rPr>
          <w:b/>
          <w:sz w:val="24"/>
        </w:rPr>
        <w:t>1.节能、环保要求</w:t>
      </w:r>
    </w:p>
    <w:p>
      <w:pPr>
        <w:ind w:firstLine="480"/>
      </w:pPr>
      <w:r>
        <w:rPr/>
        <w:t>采购的产品属于品目清单范围的，将依据国家确定的认证机构出具的、处于有效期之内的节能产品、环境标志产品认证证书，对获得证书的产品实施政府优先采购或强制采购，具体按照本磋商文件相关要求执行。</w:t>
      </w:r>
    </w:p>
    <w:p>
      <w:pPr>
        <w:ind w:firstLine="480"/>
      </w:pPr>
      <w:r>
        <w:rPr/>
        <w:t>相关认证机构和获证产品信息以市场监管总局组织建立的节能产品、环境标志产品认证结果信息发布平台公布为准。</w:t>
      </w:r>
    </w:p>
    <w:p>
      <w:r>
        <w:rPr>
          <w:b/>
          <w:sz w:val="24"/>
        </w:rPr>
        <w:t>2.对小型、微型企业、监狱企业或残疾人福利性单位给予价格扣除</w:t>
      </w:r>
    </w:p>
    <w:p>
      <w:pPr>
        <w:ind w:firstLine="480"/>
      </w:pPr>
      <w:r>
        <w:rPr/>
        <w:t>依照《政府采购促进中小企业发展管理办法》、《支持监狱企业发展有关问题的通知》和《财政部 民政部</w:t>
        <w:tab/>
        <w:tab/>
        <w:t xml:space="preserve">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r>
        <w:rPr>
          <w:b/>
          <w:sz w:val="24"/>
        </w:rPr>
        <w:t>3.价格扣除相关要求</w:t>
      </w:r>
    </w:p>
    <w:p>
      <w:pPr>
        <w:ind w:firstLine="480"/>
      </w:pPr>
    </w:p>
    <w:p/>
    <w:p>
      <w:r>
        <w:rPr/>
        <w:t>采购包1（云浮市云安区档案馆配套库房（简易库房）建设采购项目）：</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r>
              <w:rPr/>
              <w:t>序号</w:t>
            </w:r>
          </w:p>
        </w:tc>
        <w:tc>
          <w:tcPr>
            <w:tcW w:type="dxa" w:w="2160"/>
          </w:tcPr>
          <w:p>
            <w:r>
              <w:rPr/>
              <w:t>情形</w:t>
            </w:r>
          </w:p>
        </w:tc>
        <w:tc>
          <w:tcPr>
            <w:tcW w:type="dxa" w:w="2160"/>
          </w:tcPr>
          <w:p>
            <w:r>
              <w:rPr/>
              <w:t>适用对象</w:t>
            </w:r>
          </w:p>
        </w:tc>
        <w:tc>
          <w:tcPr>
            <w:tcW w:type="dxa" w:w="1246"/>
          </w:tcPr>
          <w:p>
            <w:r>
              <w:rPr/>
              <w:t>价格扣除比例</w:t>
            </w:r>
          </w:p>
        </w:tc>
        <w:tc>
          <w:tcPr>
            <w:tcW w:type="dxa" w:w="2160"/>
          </w:tcPr>
          <w:p>
            <w:r>
              <w:rPr/>
              <w:t>计算公式</w:t>
            </w:r>
          </w:p>
        </w:tc>
      </w:tr>
      <w:tr>
        <w:tc>
          <w:tcPr>
            <w:tcW w:type="dxa" w:w="8307"/>
            <w:gridSpan w:val="5"/>
          </w:tcPr>
          <w:p>
            <w:pPr>
              <w:jc w:val="left"/>
            </w:pPr>
            <w:r>
              <w:rPr/>
              <w:t>注：（1）上述评标价仅用于计算价格分，成交金额以实际投标价为准。</w:t>
              <w:tab/>
              <w:tab/>
              <w:tab/>
              <w:tab/>
              <w:tab/>
              <w:t xml:space="preserve"> （2）组成联合体的大中型企业和其他自然人、法人或者其他组织、与小型、微型企业之间不得存在投资关系。</w:t>
            </w:r>
          </w:p>
        </w:tc>
      </w:tr>
    </w:tbl>
    <w:p>
      <w:r>
        <w:br/>
      </w:r>
    </w:p>
    <w:p/>
    <w:p>
      <w:pPr>
        <w:ind w:firstLine="480"/>
      </w:pPr>
      <w:r>
        <w:rPr/>
        <w:t>（1）所称小型和微型企业应当符合以下条件：</w:t>
      </w:r>
    </w:p>
    <w:p>
      <w:pPr>
        <w:ind w:firstLine="480"/>
      </w:pPr>
      <w:r>
        <w:rPr/>
        <w:t>在中华人民共和国境内依法设立，依据国务院批准的中小企业划分标准确定的小型企业和微型企业，但与大企业的负责人为同一人，或者与大企业存在直接控股、管理关系的除外。符合中小企业划分标准的个体工商户，在政府采购活动中视同中小企业。提供本企业制造的货物或者提供其他小型或微型企业制造的货物。</w:t>
      </w:r>
    </w:p>
    <w:p>
      <w:pPr>
        <w:ind w:firstLine="480"/>
      </w:pPr>
      <w:r>
        <w:rPr/>
        <w:t>符合中小企业划分标准的个体工商户，在政府采购活动中视同中小企业。</w:t>
      </w:r>
    </w:p>
    <w:p>
      <w:pPr>
        <w:ind w:firstLine="480"/>
      </w:pPr>
      <w:r>
        <w:rPr/>
        <w:t>提供本企业（属于小微企业）制造的货物或者提供其他小型或微型企业制造的货物/提供本企业（属于小微企业）承接的服务。</w:t>
      </w:r>
    </w:p>
    <w:p>
      <w:pPr>
        <w:ind w:firstLine="480"/>
      </w:pPr>
      <w:r>
        <w:rPr/>
        <w:t>（2）符合中小企业扶持政策的供应商应填写《中小企业声明函》；监狱企业须供应商提供由监狱管理局、戒毒管理局（含新疆生产建设兵团）出具的属于监狱企业的证明文件；残疾人福利性单位应填写《残疾人福利性单位声明函》，否则不认定价格扣除。</w:t>
      </w:r>
    </w:p>
    <w:p>
      <w:pPr>
        <w:ind w:firstLine="480"/>
      </w:pPr>
      <w:r>
        <w:rPr/>
        <w:t>说明：供应商应当对其出具的《中小企业声明函》真实性负责，供应商出具的《中小企业声明函》内容不实的，属于提供虚假材料谋取成交。</w:t>
      </w:r>
    </w:p>
    <w:p>
      <w:pPr>
        <w:ind w:firstLine="480"/>
      </w:pPr>
      <w:r>
        <w:rPr/>
        <w:t>（3）联合体各方均为小型、微型企业的，各方均应提供《中小企业声明函》；中小微企业作为联合体一方参与政府采购活动，且联合体协议书中约定，小型、微型企业的协议合同金额占到联合体协议合同总金额30%以上的，应附中小微企业的《中小企业声明函》。</w:t>
      </w:r>
    </w:p>
    <w:p>
      <w:r>
        <w:rPr>
          <w:b/>
          <w:sz w:val="28"/>
        </w:rPr>
        <w:t>三、评审程序</w:t>
      </w:r>
    </w:p>
    <w:p>
      <w:r>
        <w:rPr>
          <w:b/>
          <w:sz w:val="24"/>
        </w:rPr>
        <w:t>1.资格性审查和符合性审查</w:t>
      </w:r>
    </w:p>
    <w:p>
      <w:pPr>
        <w:ind w:firstLine="480"/>
      </w:pPr>
      <w:r>
        <w:rPr/>
        <w:t>磋商小组根据《资格性审查表》（附表一）和《符合性审查表》（附表二）的内容逐条对响应文件进行评审，审查每份响应文件的相关资格证明文件是否齐全有效。审查每份响应文件是否实质上响应了磋商文件的要求，只要不满足《资格性审查表》和《符合性审查表》所列各项要求之一的，将被认定为无效响应。对响应有效性认定意见不一致的，磋商小组按少数服从多数原则表决决定。</w:t>
      </w:r>
    </w:p>
    <w:p>
      <w:pPr>
        <w:ind w:firstLine="480"/>
      </w:pPr>
      <w:r>
        <w:rPr/>
        <w:t>磋商小组对各磋商供应商进行资格性和符合性审查过程中，对初步被认定为初审不合格或无效响应者应实行及时告知，由磋商小组组长或采购人代表将集体意见及时告知报价当事人。</w:t>
      </w:r>
    </w:p>
    <w:p>
      <w:pPr>
        <w:ind w:firstLine="480"/>
      </w:pPr>
      <w:r>
        <w:rPr/>
        <w:t>表一资格性审查表：</w:t>
      </w:r>
    </w:p>
    <w:p>
      <w:pPr>
        <w:ind w:firstLine="480"/>
      </w:pPr>
    </w:p>
    <w:p/>
    <w:p>
      <w:r>
        <w:rPr/>
        <w:t>采购包1（云浮市云安区档案馆配套库房（简易库房）建设采购项目）：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r>
              <w:rPr/>
              <w:t>序号</w:t>
            </w:r>
          </w:p>
        </w:tc>
        <w:tc>
          <w:tcPr>
            <w:tcW w:type="dxa" w:w="7416"/>
            <w:gridSpan w:val="2"/>
          </w:tcPr>
          <w:p>
            <w:r>
              <w:rPr/>
              <w:t>资格审查内容</w:t>
            </w:r>
          </w:p>
        </w:tc>
      </w:tr>
      <w:tr>
        <w:tc>
          <w:tcPr>
            <w:tcW w:type="dxa" w:w="890"/>
          </w:tcPr>
          <w:p>
            <w:r>
              <w:rPr/>
              <w:t>1</w:t>
            </w:r>
          </w:p>
        </w:tc>
        <w:tc>
          <w:tcPr>
            <w:tcW w:type="dxa" w:w="3178"/>
          </w:tcPr>
          <w:p>
            <w:r>
              <w:rPr/>
              <w:t>具有独立承担民事责任的能力</w:t>
            </w:r>
          </w:p>
        </w:tc>
        <w:tc>
          <w:tcPr>
            <w:tcW w:type="dxa" w:w="4238"/>
          </w:tcPr>
          <w:p>
            <w:r>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tc>
          <w:tcPr>
            <w:tcW w:type="dxa" w:w="890"/>
          </w:tcPr>
          <w:p>
            <w:r>
              <w:rPr/>
              <w:t>2</w:t>
            </w:r>
          </w:p>
        </w:tc>
        <w:tc>
          <w:tcPr>
            <w:tcW w:type="dxa" w:w="3178"/>
          </w:tcPr>
          <w:p>
            <w:r>
              <w:rPr/>
              <w:t>有依法缴纳税收和社会保障资金的良好记录</w:t>
            </w:r>
          </w:p>
        </w:tc>
        <w:tc>
          <w:tcPr>
            <w:tcW w:type="dxa" w:w="4238"/>
          </w:tcPr>
          <w:p>
            <w:r>
              <w:rPr/>
              <w:t>提供《资格承诺函》，格式自拟</w:t>
            </w:r>
          </w:p>
        </w:tc>
      </w:tr>
      <w:tr>
        <w:tc>
          <w:tcPr>
            <w:tcW w:type="dxa" w:w="890"/>
          </w:tcPr>
          <w:p>
            <w:r>
              <w:rPr/>
              <w:t>3</w:t>
            </w:r>
          </w:p>
        </w:tc>
        <w:tc>
          <w:tcPr>
            <w:tcW w:type="dxa" w:w="3178"/>
          </w:tcPr>
          <w:p>
            <w:r>
              <w:rPr/>
              <w:t>具有良好的商业信誉和健全的财务会计制度</w:t>
            </w:r>
          </w:p>
        </w:tc>
        <w:tc>
          <w:tcPr>
            <w:tcW w:type="dxa" w:w="4238"/>
          </w:tcPr>
          <w:p>
            <w:r>
              <w:rPr/>
              <w:t>提供《资格承诺函》，格式自拟</w:t>
            </w:r>
          </w:p>
        </w:tc>
      </w:tr>
      <w:tr>
        <w:tc>
          <w:tcPr>
            <w:tcW w:type="dxa" w:w="890"/>
          </w:tcPr>
          <w:p>
            <w:r>
              <w:rPr/>
              <w:t>4</w:t>
            </w:r>
          </w:p>
        </w:tc>
        <w:tc>
          <w:tcPr>
            <w:tcW w:type="dxa" w:w="3178"/>
          </w:tcPr>
          <w:p>
            <w:r>
              <w:rPr/>
              <w:t>履行合同所必需的设备和专业技术能力</w:t>
            </w:r>
          </w:p>
        </w:tc>
        <w:tc>
          <w:tcPr>
            <w:tcW w:type="dxa" w:w="4238"/>
          </w:tcPr>
          <w:p>
            <w:r>
              <w:rPr/>
              <w:t>提供《资格承诺函》，格式自拟</w:t>
            </w:r>
          </w:p>
        </w:tc>
      </w:tr>
      <w:tr>
        <w:tc>
          <w:tcPr>
            <w:tcW w:type="dxa" w:w="890"/>
          </w:tcPr>
          <w:p>
            <w:r>
              <w:rPr/>
              <w:t>5</w:t>
            </w:r>
          </w:p>
        </w:tc>
        <w:tc>
          <w:tcPr>
            <w:tcW w:type="dxa" w:w="3178"/>
          </w:tcPr>
          <w:p>
            <w:r>
              <w:rPr/>
              <w:t>参加采购活动前3年内，在经营活动中没有重大违法记录</w:t>
            </w:r>
          </w:p>
        </w:tc>
        <w:tc>
          <w:tcPr>
            <w:tcW w:type="dxa" w:w="4238"/>
          </w:tcPr>
          <w:p>
            <w:r>
              <w:rPr/>
              <w:t>参照响应承诺函相关承诺格式内容。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r>
              <w:rPr/>
              <w:t>6</w:t>
            </w:r>
          </w:p>
        </w:tc>
        <w:tc>
          <w:tcPr>
            <w:tcW w:type="dxa" w:w="3178"/>
          </w:tcPr>
          <w:p>
            <w:r>
              <w:rPr/>
              <w:t>信用记录</w:t>
            </w:r>
          </w:p>
        </w:tc>
        <w:tc>
          <w:tcPr>
            <w:tcW w:type="dxa" w:w="4238"/>
          </w:tcPr>
          <w:p>
            <w:r>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c>
          <w:tcPr>
            <w:tcW w:type="dxa" w:w="890"/>
          </w:tcPr>
          <w:p>
            <w:r>
              <w:rPr/>
              <w:t>7</w:t>
            </w:r>
          </w:p>
        </w:tc>
        <w:tc>
          <w:tcPr>
            <w:tcW w:type="dxa" w:w="3178"/>
          </w:tcPr>
          <w:p>
            <w:r>
              <w:rPr/>
              <w:t>供应商必须符合法律、行政法规规定的其他条件</w:t>
            </w:r>
          </w:p>
        </w:tc>
        <w:tc>
          <w:tcPr>
            <w:tcW w:type="dxa" w:w="4238"/>
          </w:tcPr>
          <w:p>
            <w:r>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响应承诺函相关承诺要求内容。</w:t>
            </w:r>
          </w:p>
        </w:tc>
      </w:tr>
      <w:tr>
        <w:tc>
          <w:tcPr>
            <w:tcW w:type="dxa" w:w="890"/>
          </w:tcPr>
          <w:p>
            <w:r>
              <w:rPr/>
              <w:t>8</w:t>
            </w:r>
          </w:p>
        </w:tc>
        <w:tc>
          <w:tcPr>
            <w:tcW w:type="dxa" w:w="3178"/>
          </w:tcPr>
          <w:p>
            <w:r>
              <w:rPr/>
              <w:t>本项目不接受联合体投标</w:t>
            </w:r>
          </w:p>
        </w:tc>
        <w:tc>
          <w:tcPr>
            <w:tcW w:type="dxa" w:w="4238"/>
          </w:tcPr>
          <w:p>
            <w:r>
              <w:rPr/>
              <w:t>本项目不接受联合体投标</w:t>
            </w:r>
          </w:p>
        </w:tc>
      </w:tr>
      <w:tr>
        <w:tc>
          <w:tcPr>
            <w:tcW w:type="dxa" w:w="890"/>
          </w:tcPr>
          <w:p>
            <w:r>
              <w:rPr/>
              <w:t>9</w:t>
            </w:r>
          </w:p>
        </w:tc>
        <w:tc>
          <w:tcPr>
            <w:tcW w:type="dxa" w:w="3178"/>
          </w:tcPr>
          <w:p>
            <w:r>
              <w:rPr/>
              <w:t>本采购包专门面向中小企业采购</w:t>
            </w:r>
          </w:p>
        </w:tc>
        <w:tc>
          <w:tcPr>
            <w:tcW w:type="dxa" w:w="4238"/>
          </w:tcPr>
          <w:p>
            <w:r>
              <w:rPr/>
              <w:t>本项目属于专门面向中小企业采购的项目。</w:t>
            </w:r>
          </w:p>
        </w:tc>
      </w:tr>
    </w:tbl>
    <w:p/>
    <w:p>
      <w:pPr>
        <w:ind w:firstLine="480"/>
      </w:pPr>
      <w:r>
        <w:rPr/>
        <w:t>表二符合性审查表：</w:t>
      </w:r>
    </w:p>
    <w:p>
      <w:pPr>
        <w:ind w:firstLine="480"/>
      </w:pPr>
    </w:p>
    <w:p/>
    <w:p>
      <w:r>
        <w:rPr/>
        <w:t>采购包1（云浮市云安区档案馆配套库房（简易库房）建设采购项目）：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r>
              <w:rPr/>
              <w:t>序号</w:t>
            </w:r>
          </w:p>
        </w:tc>
        <w:tc>
          <w:tcPr>
            <w:tcW w:type="dxa" w:w="3178"/>
          </w:tcPr>
          <w:p>
            <w:r>
              <w:rPr/>
              <w:t>评审点要求概况</w:t>
            </w:r>
          </w:p>
        </w:tc>
        <w:tc>
          <w:tcPr>
            <w:tcW w:type="dxa" w:w="4238"/>
          </w:tcPr>
          <w:p>
            <w:r>
              <w:rPr/>
              <w:t>评审点具体描述</w:t>
            </w:r>
          </w:p>
        </w:tc>
      </w:tr>
      <w:tr>
        <w:tc>
          <w:tcPr>
            <w:tcW w:type="dxa" w:w="890"/>
          </w:tcPr>
          <w:p>
            <w:r>
              <w:rPr/>
              <w:t>1</w:t>
            </w:r>
          </w:p>
        </w:tc>
        <w:tc>
          <w:tcPr>
            <w:tcW w:type="dxa" w:w="3178"/>
          </w:tcPr>
          <w:p>
            <w:r>
              <w:rPr/>
              <w:t>响应文件的签署和盖章及法定代表人授权书</w:t>
            </w:r>
          </w:p>
        </w:tc>
        <w:tc>
          <w:tcPr>
            <w:tcW w:type="dxa" w:w="4238"/>
          </w:tcPr>
          <w:p>
            <w:r>
              <w:rPr/>
              <w:t>按照磋商文件规定要求签署、盖章且响应文件有法定代表人签字或盖章，或签字人有法定代表人有效授权书的；</w:t>
            </w:r>
          </w:p>
        </w:tc>
      </w:tr>
      <w:tr>
        <w:tc>
          <w:tcPr>
            <w:tcW w:type="dxa" w:w="890"/>
          </w:tcPr>
          <w:p>
            <w:r>
              <w:rPr/>
              <w:t>2</w:t>
            </w:r>
          </w:p>
        </w:tc>
        <w:tc>
          <w:tcPr>
            <w:tcW w:type="dxa" w:w="3178"/>
          </w:tcPr>
          <w:p>
            <w:r>
              <w:rPr/>
              <w:t>响应承诺函、投标有效期</w:t>
            </w:r>
          </w:p>
        </w:tc>
        <w:tc>
          <w:tcPr>
            <w:tcW w:type="dxa" w:w="4238"/>
          </w:tcPr>
          <w:p>
            <w:r>
              <w:rPr/>
              <w:t>响应承诺函已提交并符合磋商文件要求的，且投标有效期不少于磋商文件中载明的投标有效期。</w:t>
            </w:r>
          </w:p>
        </w:tc>
      </w:tr>
      <w:tr>
        <w:tc>
          <w:tcPr>
            <w:tcW w:type="dxa" w:w="890"/>
          </w:tcPr>
          <w:p>
            <w:r>
              <w:rPr/>
              <w:t>3</w:t>
            </w:r>
          </w:p>
        </w:tc>
        <w:tc>
          <w:tcPr>
            <w:tcW w:type="dxa" w:w="3178"/>
          </w:tcPr>
          <w:p>
            <w:r>
              <w:rPr/>
              <w:t>标的提供的时间</w:t>
            </w:r>
          </w:p>
        </w:tc>
        <w:tc>
          <w:tcPr>
            <w:tcW w:type="dxa" w:w="4238"/>
          </w:tcPr>
          <w:p>
            <w:r>
              <w:rPr/>
              <w:t>合同约定生效之日起三个月内完成建设。</w:t>
            </w:r>
          </w:p>
        </w:tc>
      </w:tr>
      <w:tr>
        <w:tc>
          <w:tcPr>
            <w:tcW w:type="dxa" w:w="890"/>
          </w:tcPr>
          <w:p>
            <w:r>
              <w:rPr/>
              <w:t>4</w:t>
            </w:r>
          </w:p>
        </w:tc>
        <w:tc>
          <w:tcPr>
            <w:tcW w:type="dxa" w:w="3178"/>
          </w:tcPr>
          <w:p>
            <w:r>
              <w:rPr/>
              <w:t>其他无效投标情形</w:t>
            </w:r>
          </w:p>
        </w:tc>
        <w:tc>
          <w:tcPr>
            <w:tcW w:type="dxa" w:w="4238"/>
          </w:tcPr>
          <w:p>
            <w:r>
              <w:rPr/>
              <w:t>1）评审期间，供应商没有按磋商小组的要求提交有效的澄清、说明、补正，或提交的澄清、说明、补正改变了投标文件的实质性内容；  （2）供应商对采购人、采购代理机构、磋商小组及其工作人员施加影响，有碍公平、公正； （3）磋商文件中规定的其它无效投标情形； （4）法律法规规定属于响应无效的其他情形。</w:t>
            </w:r>
          </w:p>
        </w:tc>
      </w:tr>
    </w:tbl>
    <w:p/>
    <w:p>
      <w:r>
        <w:rPr>
          <w:b/>
          <w:sz w:val="24"/>
        </w:rPr>
        <w:t>2.响应文件澄清</w:t>
      </w:r>
    </w:p>
    <w:p>
      <w:pPr>
        <w:ind w:firstLine="480"/>
      </w:pPr>
      <w:r>
        <w:rPr/>
        <w:t>2.1对于响应文件中含义不明确、同类问题表述不一致或者有明显文字和计算错误的内容，磋商小组可在评审过程中发起在线澄清，要求供应商针对价格或内容做出必要的澄清、说明或补正。代理机构可根据开启环节记录的</w:t>
      </w:r>
      <w:r>
        <w:rPr>
          <w:b/>
        </w:rPr>
        <w:t>授权代表人联系方式</w:t>
      </w:r>
      <w:r>
        <w:rPr/>
        <w:t>发送短信提醒或电话告知。</w:t>
      </w:r>
    </w:p>
    <w:p>
      <w:pPr>
        <w:ind w:firstLine="480"/>
      </w:pPr>
      <w:r>
        <w:rPr/>
        <w:t>供应商需登录广东政府采购智慧云平台项目采购系统的等候大厅，在规定时间内完成澄清（响应），并加盖电子印章。</w:t>
      </w:r>
    </w:p>
    <w:p>
      <w:pPr>
        <w:ind w:firstLine="480"/>
      </w:pPr>
      <w:r>
        <w:rPr/>
        <w:t>若因供应商联系方式错误未接收短信、未接听电话或超时未进行澄清（响应）造成的不利后果由供应商自行承担。供应商的澄清、说明或者补正不得超出响应文件的范围或者改变响应文件的实质性内容。</w:t>
      </w:r>
    </w:p>
    <w:p>
      <w:pPr>
        <w:ind w:firstLine="480"/>
      </w:pPr>
      <w:r>
        <w:rPr/>
        <w:t>2.2磋商小组不接受供应商主动提出的澄清、说明或补正。</w:t>
      </w:r>
    </w:p>
    <w:p>
      <w:pPr>
        <w:ind w:firstLine="480"/>
      </w:pPr>
      <w:r>
        <w:rPr/>
        <w:t>2.3磋商小组对供应商提交的澄清、说明或补正有疑问的，可以要求供应商进一步澄清、说明或补正。</w:t>
      </w:r>
    </w:p>
    <w:p>
      <w:r>
        <w:rPr>
          <w:b/>
          <w:sz w:val="24"/>
        </w:rPr>
        <w:t>3.磋商</w:t>
      </w:r>
    </w:p>
    <w:p>
      <w:pPr>
        <w:ind w:firstLine="480"/>
      </w:pPr>
      <w:r>
        <w:rPr/>
        <w:t>3.1磋商小组所有成员应当集中与单一供应商分别进行磋商，并给予所有参加磋商的供应商平等的磋商机会。</w:t>
      </w:r>
    </w:p>
    <w:p>
      <w:pPr>
        <w:ind w:firstLine="480"/>
      </w:pPr>
      <w:r>
        <w:rPr/>
        <w:t>3.2在磋商过程中，磋商小组可以根据磋商文件和磋商情况实质性变动采购需求中的技术、服务要求以及合同草案条款，但不得变动磋商文件中的其他内容。实质性变动的内容，须经采购人代表确认。</w:t>
      </w:r>
    </w:p>
    <w:p>
      <w:pPr>
        <w:ind w:firstLine="480"/>
      </w:pPr>
      <w:r>
        <w:rPr/>
        <w:t>3.3对磋商文件作出的实质性变动是磋商文件的有效组成部分，磋商小组应当及时、同时通知所有参加磋商的供应商。</w:t>
      </w:r>
    </w:p>
    <w:p>
      <w:pPr>
        <w:ind w:firstLine="480"/>
      </w:pPr>
      <w:r>
        <w:rPr/>
        <w:t>3.4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w:t>
      </w:r>
    </w:p>
    <w:p>
      <w:r>
        <w:rPr>
          <w:b/>
          <w:sz w:val="24"/>
        </w:rPr>
        <w:t>4.最后报价</w:t>
      </w:r>
    </w:p>
    <w:p>
      <w:pPr>
        <w:ind w:firstLine="480"/>
      </w:pPr>
      <w:r>
        <w:rPr/>
        <w:t>4.1磋商结束后，磋商小组应当要求所有实质性响应的供应商在规定时间内提交最后报价。最后报价是供应商响应文件的有效组成部分。</w:t>
      </w:r>
    </w:p>
    <w:p>
      <w:pPr>
        <w:ind w:firstLine="480"/>
      </w:pPr>
      <w:r>
        <w:rPr/>
        <w:t>4.2已提交响应文件的供应商，在提交最后报价之前，可以根据磋商情况退出磋商。</w:t>
      </w:r>
    </w:p>
    <w:p>
      <w:pPr>
        <w:ind w:firstLine="480"/>
      </w:pPr>
      <w:r>
        <w:rPr/>
        <w:t>4.3除法规规定的特殊性情形外，提交最后报价的供应商不得少于3家。</w:t>
      </w:r>
    </w:p>
    <w:p>
      <w:r>
        <w:rPr>
          <w:b/>
          <w:sz w:val="24"/>
        </w:rPr>
        <w:t>5.详细评审</w:t>
      </w:r>
    </w:p>
    <w:p>
      <w:pPr>
        <w:ind w:firstLine="480"/>
      </w:pPr>
    </w:p>
    <w:p/>
    <w:p/>
    <w:p>
      <w:r>
        <w:rPr/>
        <w:t>采购包1(云浮市云安区档案馆配套库房（简易库房）建设采购项目):</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jc w:val="center"/>
            </w:pPr>
            <w:r>
              <w:rPr/>
              <w:t>评审因素</w:t>
            </w:r>
          </w:p>
        </w:tc>
        <w:tc>
          <w:tcPr>
            <w:tcW w:type="dxa" w:w="7383"/>
            <w:gridSpan w:val="2"/>
          </w:tcPr>
          <w:p>
            <w:pPr>
              <w:jc w:val="center"/>
            </w:pPr>
            <w:r>
              <w:rPr/>
              <w:t>评审标准</w:t>
            </w:r>
          </w:p>
        </w:tc>
      </w:tr>
      <w:tr>
        <w:tc>
          <w:tcPr>
            <w:tcW w:type="dxa" w:w="922"/>
            <w:gridSpan w:val="2"/>
          </w:tcPr>
          <w:p>
            <w:pPr>
              <w:jc w:val="center"/>
            </w:pPr>
            <w:r>
              <w:rPr/>
              <w:t>分值构成</w:t>
            </w:r>
          </w:p>
        </w:tc>
        <w:tc>
          <w:tcPr>
            <w:tcW w:type="dxa" w:w="7383"/>
            <w:gridSpan w:val="2"/>
          </w:tcPr>
          <w:p>
            <w:r>
              <w:rPr/>
              <w:t>商务部分45.0分</w:t>
            </w:r>
          </w:p>
          <w:p>
            <w:r>
              <w:rPr/>
              <w:t>技术部分45.0分</w:t>
            </w:r>
          </w:p>
          <w:p>
            <w:r>
              <w:rPr/>
              <w:t>报价得分10.0分</w:t>
            </w:r>
          </w:p>
        </w:tc>
      </w:tr>
      <w:tr>
        <w:tc>
          <w:tcPr>
            <w:tcW w:type="dxa" w:w="922"/>
            <w:gridSpan w:val="2"/>
            <w:vMerge w:val="restart"/>
          </w:tcPr>
          <w:p>
            <w:pPr>
              <w:jc w:val="center"/>
            </w:pPr>
            <w:r>
              <w:rPr/>
              <w:t>技术部分</w:t>
            </w:r>
          </w:p>
        </w:tc>
        <w:tc>
          <w:tcPr>
            <w:tcW w:type="dxa" w:w="2307"/>
          </w:tcPr>
          <w:p>
            <w:pPr>
              <w:jc w:val="left"/>
            </w:pPr>
            <w:r>
              <w:rPr/>
              <w:t>项目质量控制目标及措施、重点难点问题分析及应对措施 (10.0分)</w:t>
            </w:r>
            <w:r>
              <w:rPr/>
              <w:t>，（等次分值选择：</w:t>
            </w:r>
            <w:r>
              <w:rPr/>
              <w:t>0.0;</w:t>
            </w:r>
            <w:r>
              <w:rPr/>
              <w:t>1.0;</w:t>
            </w:r>
            <w:r>
              <w:rPr/>
              <w:t>4.0;</w:t>
            </w:r>
            <w:r>
              <w:rPr/>
              <w:t>7.0;</w:t>
            </w:r>
            <w:r>
              <w:rPr/>
              <w:t>10.0;</w:t>
            </w:r>
            <w:r>
              <w:rPr/>
              <w:t>）</w:t>
            </w:r>
          </w:p>
        </w:tc>
        <w:tc>
          <w:tcPr>
            <w:tcW w:type="dxa" w:w="5076"/>
          </w:tcPr>
          <w:p>
            <w:pPr>
              <w:jc w:val="left"/>
            </w:pPr>
            <w:r>
              <w:rPr/>
              <w:t>根据招标文件用户需求书要求，各供应商提供的方案进行评审： 1.项目质量控制目标及措施切合项目需求，重点难点问题分析完善合理，得10分； 2.项目质量控制目标及措施完整，重点难点问题分析可行，得7分； 3.具有项目质量控制目标及措施，重点难点问题分析一般，得4分； 4.具有项目质量控制目标及措施，重点难点问题的分析差，得1分； 注：没有提供不得分。</w:t>
            </w:r>
          </w:p>
        </w:tc>
      </w:tr>
      <w:tr>
        <w:tc>
          <w:tcPr>
            <w:tcW w:type="dxa" w:w="922"/>
            <w:gridSpan w:val="2"/>
            <w:vMerge/>
          </w:tcPr>
          <w:p/>
        </w:tc>
        <w:tc>
          <w:tcPr>
            <w:tcW w:type="dxa" w:w="2307"/>
          </w:tcPr>
          <w:p>
            <w:pPr>
              <w:jc w:val="left"/>
            </w:pPr>
            <w:r>
              <w:rPr/>
              <w:t>项目进度计划及保证措施（ (10.0分)</w:t>
            </w:r>
            <w:r>
              <w:rPr/>
              <w:t>，（等次分值选择：</w:t>
            </w:r>
            <w:r>
              <w:rPr/>
              <w:t>0.0;</w:t>
            </w:r>
            <w:r>
              <w:rPr/>
              <w:t>1.0;</w:t>
            </w:r>
            <w:r>
              <w:rPr/>
              <w:t>4.0;</w:t>
            </w:r>
            <w:r>
              <w:rPr/>
              <w:t>7.0;</w:t>
            </w:r>
            <w:r>
              <w:rPr/>
              <w:t>10.0;</w:t>
            </w:r>
            <w:r>
              <w:rPr/>
              <w:t>）</w:t>
            </w:r>
          </w:p>
        </w:tc>
        <w:tc>
          <w:tcPr>
            <w:tcW w:type="dxa" w:w="5076"/>
          </w:tcPr>
          <w:p>
            <w:pPr>
              <w:jc w:val="left"/>
            </w:pPr>
            <w:r>
              <w:rPr/>
              <w:t>根据招标文件用户需求书要求，各供应商提供的方案进行评审： 1.对本项目的进度计划合理，项目组织机构健全，职责分明，人员设备资源配备合理，项目启动计划、后勤保障计划完善，工作进度符合要求的，得10分； 2.对本项目的进度计划较合理，项目组织机构较健全，人员设备资源配备较合理，项目启动计划、后勤保障计划较完善，工作进度较符合要求的，得7分； 3.对本项目的进度计划不够清晰，项目组织机构不够明确，人员设备资源配备一般，项目启动计划、后勤保障计划、工作进度方案一般的，得4分； 4.对本项目的进度计划不合理，项目组织机构不健全，人员设备资源配备不合理，没有项目启动计划、后勤保障计划，工作进度不符合要求的，得1分； 注：没有提供不得分。</w:t>
            </w:r>
          </w:p>
        </w:tc>
      </w:tr>
      <w:tr>
        <w:tc>
          <w:tcPr>
            <w:tcW w:type="dxa" w:w="922"/>
            <w:gridSpan w:val="2"/>
            <w:vMerge/>
          </w:tcPr>
          <w:p/>
        </w:tc>
        <w:tc>
          <w:tcPr>
            <w:tcW w:type="dxa" w:w="2307"/>
          </w:tcPr>
          <w:p>
            <w:pPr>
              <w:jc w:val="left"/>
            </w:pPr>
            <w:r>
              <w:rPr/>
              <w:t>现场安全、保密措施 (10.0分)</w:t>
            </w:r>
            <w:r>
              <w:rPr/>
              <w:t>，（等次分值选择：</w:t>
            </w:r>
            <w:r>
              <w:rPr/>
              <w:t>0.0;</w:t>
            </w:r>
            <w:r>
              <w:rPr/>
              <w:t>1.0;</w:t>
            </w:r>
            <w:r>
              <w:rPr/>
              <w:t>4.0;</w:t>
            </w:r>
            <w:r>
              <w:rPr/>
              <w:t>7.0;</w:t>
            </w:r>
            <w:r>
              <w:rPr/>
              <w:t>10.0;</w:t>
            </w:r>
            <w:r>
              <w:rPr/>
              <w:t>）</w:t>
            </w:r>
          </w:p>
        </w:tc>
        <w:tc>
          <w:tcPr>
            <w:tcW w:type="dxa" w:w="5076"/>
          </w:tcPr>
          <w:p>
            <w:pPr>
              <w:jc w:val="left"/>
            </w:pPr>
            <w:r>
              <w:rPr/>
              <w:t>根据供应商对本项目的实施过程中所提供的现场安全、保密措施、人员管理制度等进行评审： 1.安全及保密措施强、人员的管理制度科学、高效，得10分； 2.安全及保密措施较好、人员的管理制度合理、效率较好，得7分； 3.安全及保密措施一般、人员的管理制度合理、效率一般，得4分； 4.安全及保密措施较差、人员的管理制度不太合理、低效，得1分； 注：没有提供不得分。</w:t>
            </w:r>
          </w:p>
        </w:tc>
      </w:tr>
      <w:tr>
        <w:tc>
          <w:tcPr>
            <w:tcW w:type="dxa" w:w="922"/>
            <w:gridSpan w:val="2"/>
            <w:vMerge/>
          </w:tcPr>
          <w:p/>
        </w:tc>
        <w:tc>
          <w:tcPr>
            <w:tcW w:type="dxa" w:w="2307"/>
          </w:tcPr>
          <w:p>
            <w:pPr>
              <w:jc w:val="left"/>
            </w:pPr>
            <w:r>
              <w:rPr/>
              <w:t>软件技术方案（根据用户需求书档案综合管理系统建设要求 (10.0分)</w:t>
            </w:r>
            <w:r>
              <w:rPr/>
              <w:t>，（等次分值选择：</w:t>
            </w:r>
            <w:r>
              <w:rPr/>
              <w:t>0.0;</w:t>
            </w:r>
            <w:r>
              <w:rPr/>
              <w:t>1.0;</w:t>
            </w:r>
            <w:r>
              <w:rPr/>
              <w:t>4.0;</w:t>
            </w:r>
            <w:r>
              <w:rPr/>
              <w:t>7.0;</w:t>
            </w:r>
            <w:r>
              <w:rPr/>
              <w:t>10.0;</w:t>
            </w:r>
            <w:r>
              <w:rPr/>
              <w:t>）</w:t>
            </w:r>
          </w:p>
        </w:tc>
        <w:tc>
          <w:tcPr>
            <w:tcW w:type="dxa" w:w="5076"/>
          </w:tcPr>
          <w:p>
            <w:pPr>
              <w:jc w:val="left"/>
            </w:pPr>
            <w:r>
              <w:rPr/>
              <w:t>根据供应商提供软件技术方案，包括但不限于①功能模块、②软件开发功能、③应用程序等进行评审。 1.方案科学、详细、图文并茂、可操作性高，得10分； 2.方案合理、较详细、可操作性一般，得 7分； 3.方案不太合理、简单、不太具有可操作性，得 4分。 4.方案不合理、简单、不具有可操作性，得 1分。 注：没有提供不得分。</w:t>
            </w:r>
          </w:p>
        </w:tc>
      </w:tr>
      <w:tr>
        <w:tc>
          <w:tcPr>
            <w:tcW w:type="dxa" w:w="922"/>
            <w:gridSpan w:val="2"/>
            <w:vMerge/>
          </w:tcPr>
          <w:p/>
        </w:tc>
        <w:tc>
          <w:tcPr>
            <w:tcW w:type="dxa" w:w="2307"/>
          </w:tcPr>
          <w:p>
            <w:pPr>
              <w:jc w:val="left"/>
            </w:pPr>
            <w:r>
              <w:rPr/>
              <w:t>售后服务响应情况 (2.0分)</w:t>
            </w:r>
            <w:r>
              <w:rPr/>
              <w:t>，（等次分值选择：</w:t>
            </w:r>
            <w:r>
              <w:rPr/>
              <w:t>0.0;</w:t>
            </w:r>
            <w:r>
              <w:rPr/>
              <w:t>0.5;</w:t>
            </w:r>
            <w:r>
              <w:rPr/>
              <w:t>1.0;</w:t>
            </w:r>
            <w:r>
              <w:rPr/>
              <w:t>2.0;</w:t>
            </w:r>
            <w:r>
              <w:rPr/>
              <w:t>）</w:t>
            </w:r>
          </w:p>
        </w:tc>
        <w:tc>
          <w:tcPr>
            <w:tcW w:type="dxa" w:w="5076"/>
          </w:tcPr>
          <w:p>
            <w:pPr>
              <w:jc w:val="left"/>
            </w:pPr>
            <w:r>
              <w:rPr/>
              <w:t>投标人的服务方案中（包括但不限于售后服务计划、维护方式、保修期外维修成本等）进行评审： 1.有详细、合理、切合实际的售后服务计划，承诺对采购人的服务通知，在接报后30分钟内响应，1小时内到达现场，24小时内处理完毕。得2分； 2.有较详细、基本合理可行的售后服务计划，对采购人的服务通知，中标人在接报后1小时内响应，3小时内到达现场，48小时内处理完毕。得1分； 3.提供的售后服务计划粗略、简单，对采购人的服务通知，中标人在接报后1小时内响应，4小时内到达现场，72小时内处理完毕。得0.5分。 注：无方案说明的或提交的方案不能明确售后服务时间节点的，得 0 分。</w:t>
            </w:r>
          </w:p>
        </w:tc>
      </w:tr>
      <w:tr>
        <w:tc>
          <w:tcPr>
            <w:tcW w:type="dxa" w:w="922"/>
            <w:gridSpan w:val="2"/>
            <w:vMerge/>
          </w:tcPr>
          <w:p/>
        </w:tc>
        <w:tc>
          <w:tcPr>
            <w:tcW w:type="dxa" w:w="2307"/>
          </w:tcPr>
          <w:p>
            <w:pPr>
              <w:jc w:val="left"/>
            </w:pPr>
            <w:r>
              <w:rPr/>
              <w:t>验收标准和验收方案 (3.0分)</w:t>
            </w:r>
            <w:r>
              <w:rPr/>
              <w:t>，（等次分值选择：</w:t>
            </w:r>
            <w:r>
              <w:rPr/>
              <w:t>0.0;</w:t>
            </w:r>
            <w:r>
              <w:rPr/>
              <w:t>1.0;</w:t>
            </w:r>
            <w:r>
              <w:rPr/>
              <w:t>2.0;</w:t>
            </w:r>
            <w:r>
              <w:rPr/>
              <w:t>3.0;</w:t>
            </w:r>
            <w:r>
              <w:rPr/>
              <w:t>）</w:t>
            </w:r>
          </w:p>
        </w:tc>
        <w:tc>
          <w:tcPr>
            <w:tcW w:type="dxa" w:w="5076"/>
          </w:tcPr>
          <w:p>
            <w:pPr>
              <w:jc w:val="left"/>
            </w:pPr>
            <w:r>
              <w:rPr/>
              <w:t>验收方案包括但不限于以下内容：①验收依据和相关的技术标准；②验收的组织形式、程序、注意事项；③ 验收环节和内容。 1.验收方案内容详细描述、完整无缺且具有很好的科学性和可操作性，得3分； 2.验收方案内容描述较详细、较完整且具有较好的科学性和可操作性，得2分； 3.验收方案内容描述不够完整、科学性和操作性较低，得1分； 注：无或其他不得分。</w:t>
            </w:r>
          </w:p>
        </w:tc>
      </w:tr>
      <w:tr>
        <w:tc>
          <w:tcPr>
            <w:tcW w:type="dxa" w:w="922"/>
            <w:gridSpan w:val="2"/>
            <w:vMerge w:val="restart"/>
          </w:tcPr>
          <w:p>
            <w:pPr>
              <w:jc w:val="center"/>
            </w:pPr>
            <w:r>
              <w:rPr/>
              <w:t>商务部分</w:t>
            </w:r>
          </w:p>
        </w:tc>
        <w:tc>
          <w:tcPr>
            <w:tcW w:type="dxa" w:w="2307"/>
          </w:tcPr>
          <w:p>
            <w:pPr>
              <w:jc w:val="left"/>
            </w:pPr>
            <w:r>
              <w:rPr/>
              <w:t>同类项目经验 (10.0分)</w:t>
            </w:r>
            <w:r>
              <w:rPr/>
              <w:t>，（等次分值选择：</w:t>
            </w:r>
            <w:r>
              <w:rPr/>
              <w:t>0.0;</w:t>
            </w:r>
            <w:r>
              <w:rPr/>
              <w:t>2.0;</w:t>
            </w:r>
            <w:r>
              <w:rPr/>
              <w:t>4.0;</w:t>
            </w:r>
            <w:r>
              <w:rPr/>
              <w:t>6.0;</w:t>
            </w:r>
            <w:r>
              <w:rPr/>
              <w:t>8.0;</w:t>
            </w:r>
            <w:r>
              <w:rPr/>
              <w:t>10.0;</w:t>
            </w:r>
            <w:r>
              <w:rPr/>
              <w:t>）</w:t>
            </w:r>
          </w:p>
        </w:tc>
        <w:tc>
          <w:tcPr>
            <w:tcW w:type="dxa" w:w="5076"/>
          </w:tcPr>
          <w:p>
            <w:pPr>
              <w:jc w:val="left"/>
            </w:pPr>
            <w:r>
              <w:rPr/>
              <w:t>1、供应商2020年1月1日起至今承接过档案管理系统或库房环境系统项目经验的每个得2分,本项最多得6分。 2、供应商2020年1月1日起至今承接过档案存储（密集架）项目经验的每个得2分,本项最多得4分。 注：本项最高得10分，提供合同复印件及中标（成交）通知书作评审依据。</w:t>
            </w:r>
          </w:p>
        </w:tc>
      </w:tr>
      <w:tr>
        <w:tc>
          <w:tcPr>
            <w:tcW w:type="dxa" w:w="922"/>
            <w:gridSpan w:val="2"/>
            <w:vMerge/>
          </w:tcPr>
          <w:p/>
        </w:tc>
        <w:tc>
          <w:tcPr>
            <w:tcW w:type="dxa" w:w="2307"/>
          </w:tcPr>
          <w:p>
            <w:pPr>
              <w:jc w:val="left"/>
            </w:pPr>
            <w:r>
              <w:rPr/>
              <w:t>拟投入项目负责人情况 (6.0分)</w:t>
            </w:r>
            <w:r>
              <w:rPr/>
              <w:t>，（等次分值选择：</w:t>
            </w:r>
            <w:r>
              <w:rPr/>
              <w:t>0.0;</w:t>
            </w:r>
            <w:r>
              <w:rPr/>
              <w:t>1.5;</w:t>
            </w:r>
            <w:r>
              <w:rPr/>
              <w:t>3.0;</w:t>
            </w:r>
            <w:r>
              <w:rPr/>
              <w:t>4.5;</w:t>
            </w:r>
            <w:r>
              <w:rPr/>
              <w:t>6.0;</w:t>
            </w:r>
            <w:r>
              <w:rPr/>
              <w:t>）</w:t>
            </w:r>
          </w:p>
        </w:tc>
        <w:tc>
          <w:tcPr>
            <w:tcW w:type="dxa" w:w="5076"/>
          </w:tcPr>
          <w:p>
            <w:pPr>
              <w:jc w:val="left"/>
            </w:pPr>
            <w:r>
              <w:rPr/>
              <w:t>本项目拟投入的项目负责人资质条件： 1.高级信息系统项目管理师证书； 2.高级系统架构设计师证书； 3.档案上岗证； 4.同类项目经验证明。 注：每满足一项得1.5分，满分6分。提供以上证书复印件和在本单位2023年2月至4月的参保凭证。</w:t>
            </w:r>
          </w:p>
        </w:tc>
      </w:tr>
      <w:tr>
        <w:tc>
          <w:tcPr>
            <w:tcW w:type="dxa" w:w="922"/>
            <w:gridSpan w:val="2"/>
            <w:vMerge/>
          </w:tcPr>
          <w:p/>
        </w:tc>
        <w:tc>
          <w:tcPr>
            <w:tcW w:type="dxa" w:w="2307"/>
          </w:tcPr>
          <w:p>
            <w:pPr>
              <w:jc w:val="left"/>
            </w:pPr>
            <w:r>
              <w:rPr/>
              <w:t>拟投入项目管理团队成员情况 (12.0分)</w:t>
            </w:r>
            <w:r>
              <w:rPr/>
              <w:t>，（等次分值选择：</w:t>
            </w:r>
            <w:r>
              <w:rPr/>
              <w:t>0.0;</w:t>
            </w:r>
            <w:r>
              <w:rPr/>
              <w:t>3.0;</w:t>
            </w:r>
            <w:r>
              <w:rPr/>
              <w:t>6.0;</w:t>
            </w:r>
            <w:r>
              <w:rPr/>
              <w:t>9.0;</w:t>
            </w:r>
            <w:r>
              <w:rPr/>
              <w:t>12.0;</w:t>
            </w:r>
            <w:r>
              <w:rPr/>
              <w:t>）</w:t>
            </w:r>
          </w:p>
        </w:tc>
        <w:tc>
          <w:tcPr>
            <w:tcW w:type="dxa" w:w="5076"/>
          </w:tcPr>
          <w:p>
            <w:pPr>
              <w:jc w:val="left"/>
            </w:pPr>
            <w:r>
              <w:rPr/>
              <w:t>本项目拟投入项目管理团队人员资质条件（不含项目负责人）： 1.团队成员中同一人同时具有软件开发（高级）证书、高级运维工程师证书、档案上岗证的每个加1分，本项最多得3分。 2.团队成员中同一人同时具有电子信息工程师证书、信息系统项目管理师、档案上岗证的，每个加1分，本项最多得3分。 3.团队成员中同一人同时具有信息系统项目管理师证书、档案管理师证书、档案上岗证的，每个加1分，本项最多得3分。 4.团队成员中同一人同时具有软件设计师证书、档案管理师证书、档案上岗证的，每个加1分，本项最多得3分。 注：同一技术人员具备多个证书的，只按一类算分，不重复计算；提供以上证书复印件和在本单位2023年2月至4月的参保凭证。</w:t>
            </w:r>
          </w:p>
        </w:tc>
      </w:tr>
      <w:tr>
        <w:tc>
          <w:tcPr>
            <w:tcW w:type="dxa" w:w="922"/>
            <w:gridSpan w:val="2"/>
            <w:vMerge/>
          </w:tcPr>
          <w:p/>
        </w:tc>
        <w:tc>
          <w:tcPr>
            <w:tcW w:type="dxa" w:w="2307"/>
          </w:tcPr>
          <w:p>
            <w:pPr>
              <w:jc w:val="left"/>
            </w:pPr>
            <w:r>
              <w:rPr/>
              <w:t>企业信誉 (7.0分)</w:t>
            </w:r>
            <w:r>
              <w:rPr/>
              <w:t>，（等次分值选择：</w:t>
            </w:r>
            <w:r>
              <w:rPr/>
              <w:t>0.0;</w:t>
            </w:r>
            <w:r>
              <w:rPr/>
              <w:t>1.5;</w:t>
            </w:r>
            <w:r>
              <w:rPr/>
              <w:t>2.0;</w:t>
            </w:r>
            <w:r>
              <w:rPr/>
              <w:t>3.0;</w:t>
            </w:r>
            <w:r>
              <w:rPr/>
              <w:t>3.5;</w:t>
            </w:r>
            <w:r>
              <w:rPr/>
              <w:t>4.0;</w:t>
            </w:r>
            <w:r>
              <w:rPr/>
              <w:t>5.0;</w:t>
            </w:r>
            <w:r>
              <w:rPr/>
              <w:t>5.5;</w:t>
            </w:r>
            <w:r>
              <w:rPr/>
              <w:t>7.0;</w:t>
            </w:r>
            <w:r>
              <w:rPr/>
              <w:t>）</w:t>
            </w:r>
          </w:p>
        </w:tc>
        <w:tc>
          <w:tcPr>
            <w:tcW w:type="dxa" w:w="5076"/>
          </w:tcPr>
          <w:p>
            <w:pPr>
              <w:jc w:val="left"/>
            </w:pPr>
            <w:r>
              <w:rPr/>
              <w:t>1.供应商具有用户单位提供的服务内容优质评价，每个得2分,最多得4分。以评价证明复印件及对应项目的合同复印件为准，合同服务内容需同时包括类似本项目建设的档案管理系统、档案存储（密集架）、库房环境系统。 2.供应商具有档案行政主管部门出具的零投诉证明或者推荐证明的每个1.5分，最高得3分。 注：提供以上证明文件复印件。</w:t>
            </w:r>
          </w:p>
        </w:tc>
      </w:tr>
      <w:tr>
        <w:tc>
          <w:tcPr>
            <w:tcW w:type="dxa" w:w="922"/>
            <w:gridSpan w:val="2"/>
            <w:vMerge/>
          </w:tcPr>
          <w:p/>
        </w:tc>
        <w:tc>
          <w:tcPr>
            <w:tcW w:type="dxa" w:w="2307"/>
          </w:tcPr>
          <w:p>
            <w:pPr>
              <w:jc w:val="left"/>
            </w:pPr>
            <w:r>
              <w:rPr/>
              <w:t>资质证书 (10.0分)</w:t>
            </w:r>
            <w:r>
              <w:rPr/>
              <w:t>，（等次分值选择：</w:t>
            </w:r>
            <w:r>
              <w:rPr/>
              <w:t>0.0;</w:t>
            </w:r>
            <w:r>
              <w:rPr/>
              <w:t>1.0;</w:t>
            </w:r>
            <w:r>
              <w:rPr/>
              <w:t>2.0;</w:t>
            </w:r>
            <w:r>
              <w:rPr/>
              <w:t>3.0;</w:t>
            </w:r>
            <w:r>
              <w:rPr/>
              <w:t>4.0;</w:t>
            </w:r>
            <w:r>
              <w:rPr/>
              <w:t>5.0;</w:t>
            </w:r>
            <w:r>
              <w:rPr/>
              <w:t>6.0;</w:t>
            </w:r>
            <w:r>
              <w:rPr/>
              <w:t>7.0;</w:t>
            </w:r>
            <w:r>
              <w:rPr/>
              <w:t>8.0;</w:t>
            </w:r>
            <w:r>
              <w:rPr/>
              <w:t>9.0;</w:t>
            </w:r>
            <w:r>
              <w:rPr/>
              <w:t>10.0;</w:t>
            </w:r>
            <w:r>
              <w:rPr/>
              <w:t>）</w:t>
            </w:r>
          </w:p>
        </w:tc>
        <w:tc>
          <w:tcPr>
            <w:tcW w:type="dxa" w:w="5076"/>
          </w:tcPr>
          <w:p>
            <w:pPr>
              <w:jc w:val="left"/>
            </w:pPr>
            <w:r>
              <w:rPr/>
              <w:t>1.供应商具有档案行政主管部门颁发的档案中介服务机构备案回执的得3分。 2.供应商具有有效期内的ISO27001信息安全管理体系，ISO9001质量保证体系，ISO20000信息技术服务管理体系，ISO14001环境管理体系证书的得每个得1分，最高得4分； 3.供应商具有有效期内知识产权管理体系认证证书（认证范围应包括：档案管理信息化软件的研发）的得3分。 注：提供以上证明文件复印件。</w:t>
            </w:r>
          </w:p>
        </w:tc>
      </w:tr>
      <w:tr>
        <w:tc>
          <w:tcPr>
            <w:tcW w:type="dxa" w:w="922"/>
            <w:gridSpan w:val="2"/>
          </w:tcPr>
          <w:p>
            <w:pPr>
              <w:jc w:val="center"/>
            </w:pPr>
            <w:r>
              <w:rPr/>
              <w:t>投标报价</w:t>
            </w:r>
          </w:p>
        </w:tc>
        <w:tc>
          <w:tcPr>
            <w:tcW w:type="dxa" w:w="2307"/>
          </w:tcPr>
          <w:p>
            <w:pPr>
              <w:jc w:val="left"/>
            </w:pPr>
            <w:r>
              <w:rPr/>
              <w:t>投标报价得分 (10.0分)</w:t>
            </w:r>
          </w:p>
        </w:tc>
        <w:tc>
          <w:tcPr>
            <w:tcW w:type="dxa" w:w="5076"/>
          </w:tcPr>
          <w:p>
            <w:pPr>
              <w:jc w:val="left"/>
            </w:pPr>
            <w:r>
              <w:rPr/>
              <w:t>磋商报价得分＝（磋商基准价／最后磋商报价）×价格分值【注：满足磋商文件要求且磋商价格最低的投标报价为磋商基准价。】最低报价不是中标的唯一依据。因落实政府采购政策进行价格调整的，以调整后的价格计算评标基准价和磋商报价</w:t>
            </w:r>
          </w:p>
        </w:tc>
      </w:tr>
    </w:tbl>
    <w:p/>
    <w:p>
      <w:r>
        <w:rPr>
          <w:b/>
          <w:sz w:val="24"/>
        </w:rPr>
        <w:t>6.汇总、排序</w:t>
      </w:r>
    </w:p>
    <w:p>
      <w:pPr>
        <w:ind w:firstLine="480"/>
      </w:pPr>
    </w:p>
    <w:p/>
    <w:p>
      <w:r>
        <w:rPr/>
        <w:t>采购包1：</w:t>
      </w:r>
    </w:p>
    <w:p/>
    <w:p>
      <w:r>
        <w:rPr/>
        <w:t>评审结果按评审后总得分由高到低顺序排列。评审得分相同的，按最终报价由低到高顺序排列。得分且最终报价相同的，由磋商小组采取随机抽取的方式确定。排名第一的磋商供应商为第一成交候选人，排名第二的磋商供应商为第二成交候选人（提供相同品牌产品（非单一产品采购，以核心产品为准。多个核心产品的，有一种产品品牌相同，即视为提供相同品牌产品），评审后得分最高的同品牌磋商供应商获得成交候选人推荐资格；评审得分相同的，由采购人或者采购人委托磋商小组采取随机抽取方式确定，其他同品牌磋商供应商不作为成交候选人）。</w:t>
      </w:r>
    </w:p>
    <w:p/>
    <w:p>
      <w:r>
        <w:rPr>
          <w:b/>
          <w:sz w:val="24"/>
        </w:rPr>
        <w:t>7.其他无效响应的情形：</w:t>
      </w:r>
    </w:p>
    <w:p>
      <w:pPr>
        <w:ind w:firstLine="480"/>
      </w:pPr>
      <w:r>
        <w:rPr/>
        <w:t>（1）评审期间，供应商没有按磋商小组的要求提交法定代表人或其委托代理人签字的澄清、说明、补正或改变了响应文件的实质性内容的。</w:t>
      </w:r>
    </w:p>
    <w:p>
      <w:pPr>
        <w:ind w:firstLine="480"/>
      </w:pPr>
      <w:r>
        <w:rPr/>
        <w:t>（2）响应文件提供虚假材料的。</w:t>
      </w:r>
    </w:p>
    <w:p>
      <w:pPr>
        <w:ind w:firstLine="480"/>
      </w:pPr>
      <w:r>
        <w:rPr/>
        <w:t>（3）供应商以他人名义响应、串通响应、以行贿手段谋取成交或者以其他弄虚作假方式响应的。</w:t>
      </w:r>
    </w:p>
    <w:p>
      <w:pPr>
        <w:ind w:firstLine="480"/>
      </w:pPr>
      <w:r>
        <w:rPr/>
        <w:t>（4）供应商对采购人、采购代理机构、磋商小组及其工作人员施加影响，有碍招标公平、公正的。</w:t>
      </w:r>
    </w:p>
    <w:p>
      <w:pPr>
        <w:ind w:firstLine="480"/>
      </w:pPr>
      <w:r>
        <w:rPr/>
        <w:t>（5）响应文件含有采购人不能接受的附加条件的。</w:t>
      </w:r>
    </w:p>
    <w:p>
      <w:pPr>
        <w:ind w:firstLine="480"/>
      </w:pPr>
      <w:r>
        <w:rPr/>
        <w:t>（6）法律、法规和磋商文件规定的其他无效情形。</w:t>
      </w:r>
    </w:p>
    <w:p>
      <w:pPr>
        <w:ind w:firstLine="480"/>
      </w:pPr>
    </w:p>
    <w:p>
      <w:r>
        <w:rPr/>
        <w:t xml:space="preserve"> </w:t>
      </w:r>
    </w:p>
    <w:p/>
    <w:p>
      <w:pPr>
        <w:jc w:val="center"/>
      </w:pPr>
      <w:r>
        <w:rPr>
          <w:b/>
          <w:sz w:val="36"/>
        </w:rPr>
        <w:t>第五章 合同文本</w:t>
      </w:r>
    </w:p>
    <w:p>
      <w:pPr>
        <w:ind w:firstLine="480"/>
      </w:pPr>
    </w:p>
    <w:p/>
    <w:p/>
    <w:p/>
    <w:p>
      <w:pPr>
        <w:shd w:fill="FFFFFF"/>
        <w:jc w:val="center"/>
      </w:pPr>
      <w:r>
        <w:rPr>
          <w:rFonts w:ascii="宋体" w:hAnsi="宋体" w:cs="宋体" w:eastAsia="宋体"/>
          <w:b/>
          <w:color w:val="222222"/>
          <w:sz w:val="48"/>
        </w:rPr>
        <w:t xml:space="preserve"> </w:t>
      </w:r>
    </w:p>
    <w:p>
      <w:pPr>
        <w:shd w:fill="FFFFFF"/>
        <w:jc w:val="center"/>
      </w:pPr>
      <w:r>
        <w:rPr>
          <w:rFonts w:ascii="宋体" w:hAnsi="宋体" w:cs="宋体" w:eastAsia="宋体"/>
          <w:b/>
          <w:color w:val="222222"/>
          <w:sz w:val="48"/>
        </w:rPr>
        <w:t xml:space="preserve"> </w:t>
      </w:r>
    </w:p>
    <w:p>
      <w:pPr>
        <w:shd w:fill="FFFFFF"/>
        <w:jc w:val="center"/>
      </w:pPr>
      <w:r>
        <w:rPr>
          <w:rFonts w:ascii="宋体" w:hAnsi="宋体" w:cs="宋体" w:eastAsia="宋体"/>
          <w:b/>
          <w:color w:val="222222"/>
          <w:sz w:val="48"/>
        </w:rPr>
        <w:t xml:space="preserve"> </w:t>
      </w:r>
    </w:p>
    <w:p>
      <w:pPr>
        <w:shd w:fill="FFFFFF"/>
        <w:jc w:val="center"/>
      </w:pPr>
      <w:r>
        <w:rPr>
          <w:rFonts w:ascii="宋体" w:hAnsi="宋体" w:cs="宋体" w:eastAsia="宋体"/>
          <w:b/>
          <w:color w:val="222222"/>
          <w:sz w:val="48"/>
        </w:rPr>
        <w:t xml:space="preserve"> </w:t>
      </w:r>
    </w:p>
    <w:p>
      <w:pPr>
        <w:shd w:fill="FFFFFF"/>
        <w:jc w:val="center"/>
      </w:pPr>
      <w:r>
        <w:rPr>
          <w:rFonts w:ascii="宋体" w:hAnsi="宋体" w:cs="宋体" w:eastAsia="宋体"/>
          <w:b/>
          <w:color w:val="222222"/>
          <w:sz w:val="48"/>
        </w:rPr>
        <w:t>广东省政府采购</w:t>
      </w:r>
    </w:p>
    <w:p>
      <w:pPr>
        <w:shd w:fill="FFFFFF"/>
        <w:jc w:val="both"/>
      </w:pPr>
      <w:r>
        <w:rPr>
          <w:rFonts w:ascii="helvetica" w:hAnsi="helvetica" w:cs="helvetica" w:eastAsia="helvetica"/>
          <w:color w:val="222222"/>
          <w:sz w:val="27"/>
        </w:rPr>
        <w:t xml:space="preserve"> </w:t>
      </w:r>
    </w:p>
    <w:p>
      <w:pPr>
        <w:shd w:fill="FFFFFF"/>
        <w:jc w:val="center"/>
      </w:pPr>
      <w:r>
        <w:rPr>
          <w:rFonts w:ascii="宋体" w:hAnsi="宋体" w:cs="宋体" w:eastAsia="宋体"/>
          <w:b/>
          <w:color w:val="222222"/>
          <w:sz w:val="48"/>
        </w:rPr>
        <w:t>合　同　书</w:t>
      </w:r>
    </w:p>
    <w:p>
      <w:pPr>
        <w:shd w:fill="FFFFFF"/>
        <w:jc w:val="center"/>
      </w:pPr>
      <w:r>
        <w:br/>
      </w:r>
      <w:r>
        <w:br/>
      </w:r>
      <w:r>
        <w:br/>
      </w:r>
      <w:r>
        <w:br/>
      </w:r>
      <w:r>
        <w:br/>
      </w:r>
      <w:r>
        <w:br/>
      </w:r>
      <w:r>
        <w:br/>
      </w:r>
      <w:r>
        <w:br/>
      </w:r>
      <w:r>
        <w:rPr>
          <w:rFonts w:ascii="helvetica" w:hAnsi="helvetica" w:cs="helvetica" w:eastAsia="helvetica"/>
          <w:color w:val="222222"/>
          <w:sz w:val="27"/>
        </w:rPr>
        <w:t xml:space="preserve"> </w:t>
      </w:r>
    </w:p>
    <w:p>
      <w:pPr>
        <w:shd w:fill="FFFFFF"/>
        <w:jc w:val="center"/>
      </w:pPr>
      <w:r>
        <w:rPr>
          <w:rFonts w:ascii="宋体" w:hAnsi="宋体" w:cs="宋体" w:eastAsia="宋体"/>
          <w:color w:val="222222"/>
          <w:sz w:val="28"/>
        </w:rPr>
        <w:t>采购计划编号：</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p>
    <w:p>
      <w:pPr>
        <w:shd w:fill="FFFFFF"/>
        <w:jc w:val="both"/>
      </w:pPr>
      <w:r>
        <w:rPr>
          <w:rFonts w:ascii="helvetica" w:hAnsi="helvetica" w:cs="helvetica" w:eastAsia="helvetica"/>
          <w:color w:val="222222"/>
          <w:sz w:val="27"/>
        </w:rPr>
        <w:t xml:space="preserve"> </w:t>
      </w:r>
    </w:p>
    <w:p>
      <w:pPr>
        <w:shd w:fill="FFFFFF"/>
        <w:jc w:val="center"/>
      </w:pPr>
      <w:r>
        <w:rPr>
          <w:rFonts w:ascii="宋体" w:hAnsi="宋体" w:cs="宋体" w:eastAsia="宋体"/>
          <w:color w:val="222222"/>
          <w:sz w:val="28"/>
        </w:rPr>
        <w:t>项目编号：</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p>
    <w:p>
      <w:pPr>
        <w:shd w:fill="FFFFFF"/>
        <w:jc w:val="both"/>
      </w:pPr>
      <w:r>
        <w:rPr>
          <w:rFonts w:ascii="helvetica" w:hAnsi="helvetica" w:cs="helvetica" w:eastAsia="helvetica"/>
          <w:color w:val="222222"/>
          <w:sz w:val="27"/>
        </w:rPr>
        <w:t xml:space="preserve"> </w:t>
      </w:r>
    </w:p>
    <w:p>
      <w:pPr>
        <w:shd w:fill="FFFFFF"/>
        <w:jc w:val="center"/>
      </w:pPr>
      <w:r>
        <w:rPr>
          <w:rFonts w:ascii="宋体" w:hAnsi="宋体" w:cs="宋体" w:eastAsia="宋体"/>
          <w:color w:val="222222"/>
          <w:sz w:val="28"/>
        </w:rPr>
        <w:t>项目名称：</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p>
    <w:p>
      <w:pPr>
        <w:shd w:fill="FFFFFF"/>
      </w:pPr>
      <w:r>
        <w:rPr>
          <w:rFonts w:ascii="helvetica" w:hAnsi="helvetica" w:cs="helvetica" w:eastAsia="helvetica"/>
          <w:color w:val="222222"/>
          <w:sz w:val="27"/>
        </w:rPr>
        <w:t xml:space="preserve"> </w:t>
      </w:r>
    </w:p>
    <w:p>
      <w:pPr>
        <w:shd w:fill="FFFFFF"/>
      </w:pPr>
      <w:r>
        <w:rPr>
          <w:rFonts w:ascii="helvetica" w:hAnsi="helvetica" w:cs="helvetica" w:eastAsia="helvetica"/>
          <w:color w:val="222222"/>
          <w:sz w:val="27"/>
        </w:rPr>
        <w:t xml:space="preserve"> </w:t>
      </w:r>
    </w:p>
    <w:p>
      <w:pPr>
        <w:shd w:fill="FFFFFF"/>
      </w:pPr>
      <w:r>
        <w:rPr>
          <w:rFonts w:ascii="helvetica" w:hAnsi="helvetica" w:cs="helvetica" w:eastAsia="helvetica"/>
          <w:color w:val="222222"/>
          <w:sz w:val="27"/>
        </w:rPr>
        <w:t xml:space="preserve"> </w:t>
      </w:r>
    </w:p>
    <w:p>
      <w:pPr>
        <w:shd w:fill="FFFFFF"/>
      </w:pPr>
      <w:r>
        <w:rPr>
          <w:rFonts w:ascii="helvetica" w:hAnsi="helvetica" w:cs="helvetica" w:eastAsia="helvetica"/>
          <w:color w:val="222222"/>
          <w:sz w:val="27"/>
        </w:rPr>
        <w:t xml:space="preserve"> </w:t>
      </w:r>
    </w:p>
    <w:p>
      <w:pPr>
        <w:shd w:fill="FFFFFF"/>
      </w:pPr>
      <w:r>
        <w:rPr>
          <w:rFonts w:ascii="helvetica" w:hAnsi="helvetica" w:cs="helvetica" w:eastAsia="helvetica"/>
          <w:color w:val="222222"/>
          <w:sz w:val="27"/>
        </w:rPr>
        <w:t xml:space="preserve"> </w:t>
      </w:r>
    </w:p>
    <w:p>
      <w:pPr>
        <w:shd w:fill="FFFFFF"/>
      </w:pPr>
      <w:r>
        <w:rPr>
          <w:rFonts w:ascii="helvetica" w:hAnsi="helvetica" w:cs="helvetica" w:eastAsia="helvetica"/>
          <w:color w:val="222222"/>
          <w:sz w:val="27"/>
        </w:rPr>
        <w:t xml:space="preserve"> </w:t>
      </w:r>
    </w:p>
    <w:p>
      <w:pPr>
        <w:shd w:fill="FFFFFF"/>
      </w:pPr>
      <w:r>
        <w:rPr>
          <w:rFonts w:ascii="helvetica" w:hAnsi="helvetica" w:cs="helvetica" w:eastAsia="helvetica"/>
          <w:color w:val="222222"/>
          <w:sz w:val="27"/>
        </w:rPr>
        <w:t xml:space="preserve"> </w:t>
      </w:r>
    </w:p>
    <w:p>
      <w:pPr>
        <w:shd w:fill="FFFFFF"/>
      </w:pPr>
      <w:r>
        <w:rPr>
          <w:rFonts w:ascii="helvetica" w:hAnsi="helvetica" w:cs="helvetica" w:eastAsia="helvetica"/>
          <w:color w:val="222222"/>
          <w:sz w:val="27"/>
        </w:rPr>
        <w:t xml:space="preserve"> </w:t>
      </w:r>
    </w:p>
    <w:p>
      <w:pPr>
        <w:shd w:fill="FFFFFF"/>
      </w:pPr>
      <w:r>
        <w:rPr>
          <w:rFonts w:ascii="helvetica" w:hAnsi="helvetica" w:cs="helvetica" w:eastAsia="helvetica"/>
          <w:color w:val="222222"/>
          <w:sz w:val="27"/>
        </w:rPr>
        <w:t xml:space="preserve"> </w:t>
      </w:r>
    </w:p>
    <w:p>
      <w:pPr>
        <w:shd w:fill="FFFFFF"/>
        <w:jc w:val="both"/>
      </w:pPr>
      <w:r>
        <w:br/>
      </w:r>
      <w:r>
        <w:rPr>
          <w:rFonts w:ascii="helvetica" w:hAnsi="helvetica" w:cs="helvetica" w:eastAsia="helvetica"/>
          <w:color w:val="222222"/>
          <w:sz w:val="27"/>
        </w:rPr>
        <w:t xml:space="preserve"> </w:t>
      </w:r>
    </w:p>
    <w:p>
      <w:pPr>
        <w:shd w:fill="FFFFFF"/>
        <w:jc w:val="both"/>
      </w:pPr>
      <w:r>
        <w:rPr>
          <w:rFonts w:ascii="宋体" w:hAnsi="宋体" w:cs="宋体" w:eastAsia="宋体"/>
          <w:b/>
          <w:color w:val="222222"/>
          <w:sz w:val="27"/>
        </w:rPr>
        <w:t>甲方：</w:t>
      </w:r>
      <w:r>
        <w:rPr>
          <w:rFonts w:ascii="宋体" w:hAnsi="宋体" w:cs="宋体" w:eastAsia="宋体"/>
          <w:b/>
          <w:color w:val="222222"/>
          <w:sz w:val="27"/>
        </w:rPr>
        <w:t xml:space="preserve"> </w:t>
      </w:r>
      <w:r>
        <w:rPr>
          <w:rFonts w:ascii="宋体" w:hAnsi="宋体" w:cs="宋体" w:eastAsia="宋体"/>
          <w:b/>
          <w:color w:val="222222"/>
          <w:sz w:val="27"/>
        </w:rPr>
        <w:t>　　　　　</w:t>
      </w:r>
      <w:r>
        <w:rPr>
          <w:rFonts w:ascii="宋体" w:hAnsi="宋体" w:cs="宋体" w:eastAsia="宋体"/>
          <w:b/>
          <w:color w:val="222222"/>
          <w:sz w:val="27"/>
        </w:rPr>
        <w:t xml:space="preserve"> </w:t>
      </w:r>
      <w:r>
        <w:rPr>
          <w:rFonts w:ascii="宋体" w:hAnsi="宋体" w:cs="宋体" w:eastAsia="宋体"/>
          <w:b/>
          <w:color w:val="222222"/>
          <w:sz w:val="27"/>
        </w:rPr>
        <w:t xml:space="preserve"> </w:t>
      </w:r>
    </w:p>
    <w:p>
      <w:pPr>
        <w:shd w:fill="FFFFFF"/>
        <w:jc w:val="both"/>
      </w:pPr>
      <w:r>
        <w:rPr>
          <w:rFonts w:ascii="宋体" w:hAnsi="宋体" w:cs="宋体" w:eastAsia="宋体"/>
          <w:color w:val="222222"/>
          <w:sz w:val="27"/>
        </w:rPr>
        <w:t>电话：</w:t>
      </w:r>
      <w:r>
        <w:rPr>
          <w:rFonts w:ascii="宋体" w:hAnsi="宋体" w:cs="宋体" w:eastAsia="宋体"/>
          <w:color w:val="222222"/>
          <w:sz w:val="27"/>
        </w:rPr>
        <w:t xml:space="preserve"> </w:t>
      </w:r>
      <w:r>
        <w:rPr>
          <w:rFonts w:ascii="宋体" w:hAnsi="宋体" w:cs="宋体" w:eastAsia="宋体"/>
          <w:b/>
          <w:color w:val="222222"/>
          <w:sz w:val="27"/>
        </w:rPr>
        <w:t>　　　　</w:t>
      </w:r>
      <w:r>
        <w:rPr>
          <w:rFonts w:ascii="宋体" w:hAnsi="宋体" w:cs="宋体" w:eastAsia="宋体"/>
          <w:b/>
          <w:color w:val="222222"/>
          <w:sz w:val="27"/>
        </w:rPr>
        <w:t xml:space="preserve"> </w:t>
      </w:r>
      <w:r>
        <w:rPr>
          <w:rFonts w:ascii="宋体" w:hAnsi="宋体" w:cs="宋体" w:eastAsia="宋体"/>
          <w:b/>
          <w:color w:val="222222"/>
          <w:sz w:val="27"/>
        </w:rPr>
        <w:t xml:space="preserve"> </w:t>
      </w:r>
      <w:r>
        <w:rPr>
          <w:rFonts w:ascii="宋体" w:hAnsi="宋体" w:cs="宋体" w:eastAsia="宋体"/>
          <w:color w:val="222222"/>
          <w:sz w:val="27"/>
        </w:rPr>
        <w:t>传真</w:t>
      </w:r>
      <w:r>
        <w:rPr>
          <w:rFonts w:ascii="宋体" w:hAnsi="宋体" w:cs="宋体" w:eastAsia="宋体"/>
          <w:color w:val="222222"/>
          <w:sz w:val="27"/>
        </w:rPr>
        <w:t xml:space="preserve"> </w:t>
      </w:r>
      <w:r>
        <w:rPr>
          <w:rFonts w:ascii="宋体" w:hAnsi="宋体" w:cs="宋体" w:eastAsia="宋体"/>
          <w:color w:val="222222"/>
          <w:sz w:val="27"/>
        </w:rPr>
        <w:t>：</w:t>
      </w:r>
      <w:r>
        <w:rPr>
          <w:rFonts w:ascii="宋体" w:hAnsi="宋体" w:cs="宋体" w:eastAsia="宋体"/>
          <w:color w:val="222222"/>
          <w:sz w:val="27"/>
        </w:rPr>
        <w:t xml:space="preserve"> </w:t>
      </w:r>
      <w:r>
        <w:rPr>
          <w:rFonts w:ascii="宋体" w:hAnsi="宋体" w:cs="宋体" w:eastAsia="宋体"/>
          <w:b/>
          <w:color w:val="222222"/>
          <w:sz w:val="27"/>
        </w:rPr>
        <w:t>　　　</w:t>
      </w:r>
      <w:r>
        <w:rPr>
          <w:rFonts w:ascii="宋体" w:hAnsi="宋体" w:cs="宋体" w:eastAsia="宋体"/>
          <w:b/>
          <w:color w:val="222222"/>
          <w:sz w:val="27"/>
        </w:rPr>
        <w:t xml:space="preserve"> </w:t>
      </w:r>
      <w:r>
        <w:rPr>
          <w:rFonts w:ascii="宋体" w:hAnsi="宋体" w:cs="宋体" w:eastAsia="宋体"/>
          <w:b/>
          <w:color w:val="222222"/>
          <w:sz w:val="27"/>
        </w:rPr>
        <w:t xml:space="preserve"> </w:t>
      </w:r>
      <w:r>
        <w:rPr>
          <w:rFonts w:ascii="宋体" w:hAnsi="宋体" w:cs="宋体" w:eastAsia="宋体"/>
          <w:color w:val="222222"/>
          <w:sz w:val="27"/>
        </w:rPr>
        <w:t>地址：</w:t>
      </w:r>
      <w:r>
        <w:rPr>
          <w:rFonts w:ascii="宋体" w:hAnsi="宋体" w:cs="宋体" w:eastAsia="宋体"/>
          <w:color w:val="222222"/>
          <w:sz w:val="27"/>
        </w:rPr>
        <w:t xml:space="preserve"> </w:t>
      </w:r>
      <w:r>
        <w:rPr>
          <w:rFonts w:ascii="宋体" w:hAnsi="宋体" w:cs="宋体" w:eastAsia="宋体"/>
          <w:b/>
          <w:color w:val="222222"/>
          <w:sz w:val="27"/>
        </w:rPr>
        <w:t>　　　</w:t>
      </w:r>
      <w:r>
        <w:rPr>
          <w:rFonts w:ascii="宋体" w:hAnsi="宋体" w:cs="宋体" w:eastAsia="宋体"/>
          <w:b/>
          <w:color w:val="222222"/>
          <w:sz w:val="27"/>
        </w:rPr>
        <w:t xml:space="preserve"> </w:t>
      </w:r>
      <w:r>
        <w:rPr>
          <w:rFonts w:ascii="宋体" w:hAnsi="宋体" w:cs="宋体" w:eastAsia="宋体"/>
          <w:b/>
          <w:color w:val="222222"/>
          <w:sz w:val="27"/>
        </w:rPr>
        <w:t xml:space="preserve"> </w:t>
      </w:r>
      <w:r>
        <w:rPr>
          <w:rFonts w:ascii="宋体" w:hAnsi="宋体" w:cs="宋体" w:eastAsia="宋体"/>
          <w:b/>
          <w:color w:val="222222"/>
          <w:sz w:val="27"/>
        </w:rPr>
        <w:t xml:space="preserve"> </w:t>
      </w:r>
    </w:p>
    <w:p>
      <w:pPr>
        <w:shd w:fill="FFFFFF"/>
        <w:jc w:val="both"/>
      </w:pPr>
      <w:r>
        <w:rPr>
          <w:rFonts w:ascii="宋体" w:hAnsi="宋体" w:cs="宋体" w:eastAsia="宋体"/>
          <w:b/>
          <w:color w:val="222222"/>
          <w:sz w:val="27"/>
        </w:rPr>
        <w:t>乙方：</w:t>
      </w:r>
      <w:r>
        <w:rPr>
          <w:rFonts w:ascii="宋体" w:hAnsi="宋体" w:cs="宋体" w:eastAsia="宋体"/>
          <w:b/>
          <w:color w:val="222222"/>
          <w:sz w:val="27"/>
        </w:rPr>
        <w:t xml:space="preserve"> </w:t>
      </w:r>
      <w:r>
        <w:rPr>
          <w:rFonts w:ascii="宋体" w:hAnsi="宋体" w:cs="宋体" w:eastAsia="宋体"/>
          <w:b/>
          <w:color w:val="222222"/>
          <w:sz w:val="27"/>
        </w:rPr>
        <w:t>　　　　　</w:t>
      </w:r>
      <w:r>
        <w:rPr>
          <w:rFonts w:ascii="宋体" w:hAnsi="宋体" w:cs="宋体" w:eastAsia="宋体"/>
          <w:b/>
          <w:color w:val="222222"/>
          <w:sz w:val="27"/>
        </w:rPr>
        <w:t xml:space="preserve"> </w:t>
      </w:r>
      <w:r>
        <w:rPr>
          <w:rFonts w:ascii="宋体" w:hAnsi="宋体" w:cs="宋体" w:eastAsia="宋体"/>
          <w:b/>
          <w:color w:val="222222"/>
          <w:sz w:val="27"/>
        </w:rPr>
        <w:t xml:space="preserve"> </w:t>
      </w:r>
    </w:p>
    <w:p>
      <w:pPr>
        <w:shd w:fill="FFFFFF"/>
        <w:jc w:val="both"/>
      </w:pPr>
      <w:r>
        <w:rPr>
          <w:rFonts w:ascii="宋体" w:hAnsi="宋体" w:cs="宋体" w:eastAsia="宋体"/>
          <w:color w:val="222222"/>
          <w:sz w:val="27"/>
        </w:rPr>
        <w:t>电话：</w:t>
      </w:r>
      <w:r>
        <w:rPr>
          <w:rFonts w:ascii="宋体" w:hAnsi="宋体" w:cs="宋体" w:eastAsia="宋体"/>
          <w:color w:val="222222"/>
          <w:sz w:val="27"/>
        </w:rPr>
        <w:t xml:space="preserve"> </w:t>
      </w:r>
      <w:r>
        <w:rPr>
          <w:rFonts w:ascii="宋体" w:hAnsi="宋体" w:cs="宋体" w:eastAsia="宋体"/>
          <w:b/>
          <w:color w:val="222222"/>
          <w:sz w:val="27"/>
        </w:rPr>
        <w:t>　　　　</w:t>
      </w:r>
      <w:r>
        <w:rPr>
          <w:rFonts w:ascii="宋体" w:hAnsi="宋体" w:cs="宋体" w:eastAsia="宋体"/>
          <w:b/>
          <w:color w:val="222222"/>
          <w:sz w:val="27"/>
        </w:rPr>
        <w:t xml:space="preserve"> </w:t>
      </w:r>
      <w:r>
        <w:rPr>
          <w:rFonts w:ascii="宋体" w:hAnsi="宋体" w:cs="宋体" w:eastAsia="宋体"/>
          <w:b/>
          <w:color w:val="222222"/>
          <w:sz w:val="27"/>
        </w:rPr>
        <w:t xml:space="preserve"> </w:t>
      </w:r>
      <w:r>
        <w:rPr>
          <w:rFonts w:ascii="宋体" w:hAnsi="宋体" w:cs="宋体" w:eastAsia="宋体"/>
          <w:b/>
          <w:color w:val="222222"/>
          <w:sz w:val="27"/>
        </w:rPr>
        <w:t xml:space="preserve"> </w:t>
      </w:r>
      <w:r>
        <w:rPr>
          <w:rFonts w:ascii="宋体" w:hAnsi="宋体" w:cs="宋体" w:eastAsia="宋体"/>
          <w:color w:val="222222"/>
          <w:sz w:val="27"/>
        </w:rPr>
        <w:t>传真：</w:t>
      </w:r>
      <w:r>
        <w:rPr>
          <w:rFonts w:ascii="宋体" w:hAnsi="宋体" w:cs="宋体" w:eastAsia="宋体"/>
          <w:b/>
          <w:color w:val="222222"/>
          <w:sz w:val="27"/>
        </w:rPr>
        <w:t>　　　</w:t>
      </w:r>
      <w:r>
        <w:rPr>
          <w:rFonts w:ascii="宋体" w:hAnsi="宋体" w:cs="宋体" w:eastAsia="宋体"/>
          <w:b/>
          <w:color w:val="222222"/>
          <w:sz w:val="27"/>
        </w:rPr>
        <w:t xml:space="preserve"> </w:t>
      </w:r>
      <w:r>
        <w:rPr>
          <w:rFonts w:ascii="宋体" w:hAnsi="宋体" w:cs="宋体" w:eastAsia="宋体"/>
          <w:b/>
          <w:color w:val="222222"/>
          <w:sz w:val="27"/>
        </w:rPr>
        <w:t xml:space="preserve"> </w:t>
      </w:r>
      <w:r>
        <w:rPr>
          <w:rFonts w:ascii="宋体" w:hAnsi="宋体" w:cs="宋体" w:eastAsia="宋体"/>
          <w:b/>
          <w:color w:val="222222"/>
          <w:sz w:val="27"/>
        </w:rPr>
        <w:t xml:space="preserve"> </w:t>
      </w:r>
      <w:r>
        <w:rPr>
          <w:rFonts w:ascii="宋体" w:hAnsi="宋体" w:cs="宋体" w:eastAsia="宋体"/>
          <w:color w:val="222222"/>
          <w:sz w:val="27"/>
        </w:rPr>
        <w:t>地址：</w:t>
      </w:r>
      <w:r>
        <w:rPr>
          <w:rFonts w:ascii="宋体" w:hAnsi="宋体" w:cs="宋体" w:eastAsia="宋体"/>
          <w:color w:val="222222"/>
          <w:sz w:val="27"/>
        </w:rPr>
        <w:t xml:space="preserve"> </w:t>
      </w:r>
      <w:r>
        <w:rPr>
          <w:rFonts w:ascii="宋体" w:hAnsi="宋体" w:cs="宋体" w:eastAsia="宋体"/>
          <w:b/>
          <w:color w:val="222222"/>
          <w:sz w:val="27"/>
        </w:rPr>
        <w:t>　　　</w:t>
      </w:r>
      <w:r>
        <w:rPr>
          <w:rFonts w:ascii="宋体" w:hAnsi="宋体" w:cs="宋体" w:eastAsia="宋体"/>
          <w:b/>
          <w:color w:val="222222"/>
          <w:sz w:val="27"/>
        </w:rPr>
        <w:t xml:space="preserve"> </w:t>
      </w:r>
      <w:r>
        <w:rPr>
          <w:rFonts w:ascii="宋体" w:hAnsi="宋体" w:cs="宋体" w:eastAsia="宋体"/>
          <w:b/>
          <w:color w:val="222222"/>
          <w:sz w:val="27"/>
        </w:rPr>
        <w:t xml:space="preserve"> </w:t>
      </w:r>
      <w:r>
        <w:rPr>
          <w:rFonts w:ascii="宋体" w:hAnsi="宋体" w:cs="宋体" w:eastAsia="宋体"/>
          <w:b/>
          <w:color w:val="222222"/>
          <w:sz w:val="27"/>
        </w:rPr>
        <w:t xml:space="preserve"> </w:t>
      </w:r>
    </w:p>
    <w:p>
      <w:pPr>
        <w:shd w:fill="FFFFFF"/>
        <w:jc w:val="both"/>
      </w:pPr>
      <w:r>
        <w:rPr>
          <w:rFonts w:ascii="helvetica" w:hAnsi="helvetica" w:cs="helvetica" w:eastAsia="helvetica"/>
          <w:color w:val="222222"/>
          <w:sz w:val="27"/>
        </w:rPr>
        <w:t xml:space="preserve"> </w:t>
      </w:r>
    </w:p>
    <w:p>
      <w:pPr>
        <w:shd w:fill="FFFFFF"/>
        <w:jc w:val="both"/>
      </w:pPr>
      <w:r>
        <w:rPr>
          <w:rFonts w:ascii="宋体" w:hAnsi="宋体" w:cs="宋体" w:eastAsia="宋体"/>
          <w:color w:val="222222"/>
          <w:sz w:val="27"/>
        </w:rPr>
        <w:t xml:space="preserve"> </w:t>
      </w:r>
      <w:r>
        <w:rPr>
          <w:rFonts w:ascii="宋体" w:hAnsi="宋体" w:cs="宋体" w:eastAsia="宋体"/>
          <w:color w:val="222222"/>
          <w:sz w:val="27"/>
        </w:rPr>
        <w:t xml:space="preserve"> </w:t>
      </w:r>
      <w:r>
        <w:rPr>
          <w:rFonts w:ascii="宋体" w:hAnsi="宋体" w:cs="宋体" w:eastAsia="宋体"/>
          <w:color w:val="222222"/>
          <w:sz w:val="27"/>
        </w:rPr>
        <w:t>根据</w:t>
      </w:r>
      <w:r>
        <w:rPr>
          <w:rFonts w:ascii="宋体" w:hAnsi="宋体" w:cs="宋体" w:eastAsia="宋体"/>
          <w:color w:val="222222"/>
          <w:sz w:val="27"/>
        </w:rPr>
        <w:t xml:space="preserve"> </w:t>
      </w:r>
      <w:r>
        <w:rPr>
          <w:rFonts w:ascii="宋体" w:hAnsi="宋体" w:cs="宋体" w:eastAsia="宋体"/>
          <w:color w:val="222222"/>
          <w:sz w:val="27"/>
        </w:rPr>
        <w:t xml:space="preserve"> </w:t>
      </w:r>
      <w:r>
        <w:rPr>
          <w:rFonts w:ascii="宋体" w:hAnsi="宋体" w:cs="宋体" w:eastAsia="宋体"/>
          <w:color w:val="222222"/>
          <w:sz w:val="27"/>
        </w:rPr>
        <w:t xml:space="preserve"> </w:t>
      </w:r>
      <w:r>
        <w:rPr>
          <w:rFonts w:ascii="宋体" w:hAnsi="宋体" w:cs="宋体" w:eastAsia="宋体"/>
          <w:color w:val="222222"/>
          <w:sz w:val="27"/>
        </w:rPr>
        <w:t xml:space="preserve"> </w:t>
      </w:r>
      <w:r>
        <w:rPr>
          <w:rFonts w:ascii="宋体" w:hAnsi="宋体" w:cs="宋体" w:eastAsia="宋体"/>
          <w:color w:val="222222"/>
          <w:sz w:val="27"/>
        </w:rPr>
        <w:t xml:space="preserve"> </w:t>
      </w:r>
      <w:r>
        <w:rPr>
          <w:rFonts w:ascii="宋体" w:hAnsi="宋体" w:cs="宋体" w:eastAsia="宋体"/>
          <w:color w:val="222222"/>
          <w:sz w:val="27"/>
        </w:rPr>
        <w:t xml:space="preserve"> </w:t>
      </w:r>
      <w:r>
        <w:rPr>
          <w:rFonts w:ascii="宋体" w:hAnsi="宋体" w:cs="宋体" w:eastAsia="宋体"/>
          <w:color w:val="222222"/>
          <w:sz w:val="27"/>
        </w:rPr>
        <w:t xml:space="preserve"> </w:t>
      </w:r>
      <w:r>
        <w:rPr>
          <w:rFonts w:ascii="宋体" w:hAnsi="宋体" w:cs="宋体" w:eastAsia="宋体"/>
          <w:color w:val="222222"/>
          <w:sz w:val="27"/>
        </w:rPr>
        <w:t xml:space="preserve"> </w:t>
      </w:r>
      <w:r>
        <w:rPr>
          <w:rFonts w:ascii="宋体" w:hAnsi="宋体" w:cs="宋体" w:eastAsia="宋体"/>
          <w:color w:val="222222"/>
          <w:sz w:val="27"/>
        </w:rPr>
        <w:t xml:space="preserve"> </w:t>
      </w:r>
      <w:r>
        <w:rPr>
          <w:rFonts w:ascii="宋体" w:hAnsi="宋体" w:cs="宋体" w:eastAsia="宋体"/>
          <w:color w:val="222222"/>
          <w:sz w:val="27"/>
        </w:rPr>
        <w:t xml:space="preserve"> </w:t>
      </w:r>
      <w:r>
        <w:rPr>
          <w:rFonts w:ascii="宋体" w:hAnsi="宋体" w:cs="宋体" w:eastAsia="宋体"/>
          <w:color w:val="222222"/>
          <w:sz w:val="27"/>
        </w:rPr>
        <w:t>项目</w:t>
      </w:r>
      <w:r>
        <w:rPr>
          <w:rFonts w:ascii="宋体" w:hAnsi="宋体" w:cs="宋体" w:eastAsia="宋体"/>
          <w:color w:val="222222"/>
          <w:sz w:val="27"/>
        </w:rPr>
        <w:t xml:space="preserve"> </w:t>
      </w:r>
      <w:r>
        <w:rPr>
          <w:rFonts w:ascii="宋体" w:hAnsi="宋体" w:cs="宋体" w:eastAsia="宋体"/>
          <w:color w:val="222222"/>
          <w:sz w:val="27"/>
        </w:rPr>
        <w:t>的采购结果，按照《中华人民共和国政府采购法》，《</w:t>
      </w:r>
      <w:r>
        <w:rPr>
          <w:rFonts w:ascii="宋体" w:hAnsi="宋体" w:cs="宋体" w:eastAsia="宋体"/>
          <w:color w:val="222222"/>
          <w:sz w:val="27"/>
        </w:rPr>
        <w:t>中华人民共和国民法典(合同编)</w:t>
      </w:r>
      <w:r>
        <w:rPr>
          <w:rFonts w:ascii="宋体" w:hAnsi="宋体" w:cs="宋体" w:eastAsia="宋体"/>
          <w:color w:val="222222"/>
          <w:sz w:val="27"/>
        </w:rPr>
        <w:t>》的规定，经双方协商，本着平等互利和诚实信用的原则，一致同意遵守本合同如下。</w:t>
      </w:r>
    </w:p>
    <w:p>
      <w:pPr>
        <w:shd w:fill="FFFFFF"/>
        <w:jc w:val="both"/>
      </w:pPr>
      <w:r>
        <w:rPr>
          <w:rFonts w:ascii="宋体" w:hAnsi="宋体" w:cs="宋体" w:eastAsia="宋体"/>
          <w:b/>
          <w:color w:val="222222"/>
          <w:sz w:val="27"/>
        </w:rPr>
        <w:t>一、合同金额</w:t>
      </w:r>
    </w:p>
    <w:p>
      <w:pPr>
        <w:shd w:fill="FFFFFF"/>
        <w:jc w:val="both"/>
      </w:pPr>
      <w:r>
        <w:rPr>
          <w:rFonts w:ascii="宋体" w:hAnsi="宋体" w:cs="宋体" w:eastAsia="宋体"/>
          <w:color w:val="222222"/>
          <w:sz w:val="27"/>
        </w:rPr>
        <w:t>　　合同金额为（大写）：_____________元（￥_________元）人民币。</w:t>
      </w:r>
    </w:p>
    <w:p>
      <w:pPr>
        <w:shd w:fill="FFFFFF"/>
        <w:jc w:val="both"/>
      </w:pPr>
      <w:r>
        <w:rPr>
          <w:rFonts w:ascii="宋体" w:hAnsi="宋体" w:cs="宋体" w:eastAsia="宋体"/>
          <w:b/>
          <w:color w:val="222222"/>
          <w:sz w:val="27"/>
        </w:rPr>
        <w:t>二、服务范围</w:t>
      </w:r>
    </w:p>
    <w:p>
      <w:pPr>
        <w:shd w:fill="FFFFFF"/>
        <w:jc w:val="both"/>
      </w:pPr>
      <w:r>
        <w:rPr>
          <w:rFonts w:ascii="宋体" w:hAnsi="宋体" w:cs="宋体" w:eastAsia="宋体"/>
          <w:color w:val="222222"/>
          <w:sz w:val="27"/>
        </w:rPr>
        <w:t>　　甲方聘请乙方提供以下服务：</w:t>
      </w:r>
    </w:p>
    <w:p>
      <w:pPr>
        <w:shd w:fill="FFFFFF"/>
        <w:jc w:val="both"/>
      </w:pPr>
      <w:r>
        <w:rPr>
          <w:rFonts w:ascii="宋体" w:hAnsi="宋体" w:cs="宋体" w:eastAsia="宋体"/>
          <w:color w:val="222222"/>
          <w:sz w:val="27"/>
        </w:rPr>
        <w:t>　　1．</w:t>
      </w:r>
      <w:r>
        <w:rPr>
          <w:rFonts w:ascii="宋体" w:hAnsi="宋体" w:cs="宋体" w:eastAsia="宋体"/>
          <w:color w:val="222222"/>
          <w:sz w:val="27"/>
        </w:rPr>
        <w:t>　　　　　　　　　　　</w:t>
      </w:r>
      <w:r>
        <w:rPr>
          <w:rFonts w:ascii="宋体" w:hAnsi="宋体" w:cs="宋体" w:eastAsia="宋体"/>
          <w:color w:val="222222"/>
          <w:sz w:val="27"/>
        </w:rPr>
        <w:t>。</w:t>
      </w:r>
    </w:p>
    <w:p>
      <w:pPr>
        <w:shd w:fill="FFFFFF"/>
        <w:jc w:val="both"/>
      </w:pPr>
      <w:r>
        <w:rPr>
          <w:rFonts w:ascii="宋体" w:hAnsi="宋体" w:cs="宋体" w:eastAsia="宋体"/>
          <w:color w:val="222222"/>
          <w:sz w:val="27"/>
        </w:rPr>
        <w:t>　　2．</w:t>
      </w:r>
      <w:r>
        <w:rPr>
          <w:rFonts w:ascii="宋体" w:hAnsi="宋体" w:cs="宋体" w:eastAsia="宋体"/>
          <w:color w:val="222222"/>
          <w:sz w:val="27"/>
        </w:rPr>
        <w:t>　　　　　　　　　　　</w:t>
      </w:r>
    </w:p>
    <w:p>
      <w:pPr>
        <w:shd w:fill="FFFFFF"/>
        <w:jc w:val="both"/>
      </w:pPr>
      <w:r>
        <w:rPr>
          <w:rFonts w:ascii="宋体" w:hAnsi="宋体" w:cs="宋体" w:eastAsia="宋体"/>
          <w:color w:val="222222"/>
          <w:sz w:val="27"/>
        </w:rPr>
        <w:t>……</w:t>
      </w:r>
    </w:p>
    <w:p>
      <w:pPr>
        <w:shd w:fill="FFFFFF"/>
        <w:jc w:val="both"/>
      </w:pPr>
      <w:r>
        <w:rPr>
          <w:rFonts w:ascii="宋体" w:hAnsi="宋体" w:cs="宋体" w:eastAsia="宋体"/>
          <w:b/>
          <w:color w:val="222222"/>
          <w:sz w:val="27"/>
        </w:rPr>
        <w:t>三、甲方乙方的权利和义务</w:t>
      </w:r>
    </w:p>
    <w:p>
      <w:pPr>
        <w:shd w:fill="FFFFFF"/>
        <w:jc w:val="both"/>
      </w:pPr>
      <w:r>
        <w:rPr>
          <w:rFonts w:ascii="宋体" w:hAnsi="宋体" w:cs="宋体" w:eastAsia="宋体"/>
          <w:color w:val="222222"/>
          <w:sz w:val="27"/>
        </w:rPr>
        <w:t>　　1.甲方的权利和义务</w:t>
      </w:r>
    </w:p>
    <w:p>
      <w:pPr>
        <w:shd w:fill="FFFFFF"/>
        <w:jc w:val="both"/>
      </w:pPr>
      <w:r>
        <w:rPr>
          <w:rFonts w:ascii="宋体" w:hAnsi="宋体" w:cs="宋体" w:eastAsia="宋体"/>
          <w:color w:val="222222"/>
          <w:sz w:val="27"/>
        </w:rPr>
        <w:t>　　2.乙方的权利和义务</w:t>
      </w:r>
    </w:p>
    <w:p>
      <w:pPr>
        <w:shd w:fill="FFFFFF"/>
        <w:jc w:val="both"/>
      </w:pPr>
      <w:r>
        <w:rPr>
          <w:rFonts w:ascii="宋体" w:hAnsi="宋体" w:cs="宋体" w:eastAsia="宋体"/>
          <w:b/>
          <w:color w:val="222222"/>
          <w:sz w:val="27"/>
        </w:rPr>
        <w:t>四、服务期间（项目完成期限）</w:t>
      </w:r>
    </w:p>
    <w:p>
      <w:pPr>
        <w:shd w:fill="FFFFFF"/>
        <w:jc w:val="both"/>
      </w:pPr>
      <w:r>
        <w:rPr>
          <w:rFonts w:ascii="宋体" w:hAnsi="宋体" w:cs="宋体" w:eastAsia="宋体"/>
          <w:color w:val="222222"/>
          <w:sz w:val="27"/>
        </w:rPr>
        <w:t>　　1.委托服务期间自______年______月至______年______月止。</w:t>
      </w:r>
    </w:p>
    <w:p>
      <w:pPr>
        <w:shd w:fill="FFFFFF"/>
        <w:jc w:val="both"/>
      </w:pPr>
      <w:r>
        <w:rPr>
          <w:rFonts w:ascii="宋体" w:hAnsi="宋体" w:cs="宋体" w:eastAsia="宋体"/>
          <w:b/>
          <w:color w:val="222222"/>
          <w:sz w:val="27"/>
        </w:rPr>
        <w:t>五、付款方式</w:t>
      </w:r>
    </w:p>
    <w:p>
      <w:pPr>
        <w:shd w:fill="FFFFFF"/>
        <w:jc w:val="both"/>
      </w:pPr>
      <w:r>
        <w:rPr>
          <w:rFonts w:ascii="宋体" w:hAnsi="宋体" w:cs="宋体" w:eastAsia="宋体"/>
          <w:color w:val="222222"/>
          <w:sz w:val="27"/>
        </w:rPr>
        <w:t>　　由甲方按下列程序在</w:t>
      </w:r>
      <w:r>
        <w:rPr>
          <w:rFonts w:ascii="宋体" w:hAnsi="宋体" w:cs="宋体" w:eastAsia="宋体"/>
          <w:color w:val="222222"/>
          <w:sz w:val="27"/>
        </w:rPr>
        <w:t xml:space="preserve"> </w:t>
      </w:r>
      <w:r>
        <w:rPr>
          <w:rFonts w:ascii="宋体" w:hAnsi="宋体" w:cs="宋体" w:eastAsia="宋体"/>
          <w:color w:val="222222"/>
          <w:sz w:val="27"/>
        </w:rPr>
        <w:t xml:space="preserve"> </w:t>
      </w:r>
      <w:r>
        <w:rPr>
          <w:rFonts w:ascii="宋体" w:hAnsi="宋体" w:cs="宋体" w:eastAsia="宋体"/>
          <w:color w:val="222222"/>
          <w:sz w:val="27"/>
        </w:rPr>
        <w:t xml:space="preserve"> </w:t>
      </w:r>
      <w:r>
        <w:rPr>
          <w:rFonts w:ascii="宋体" w:hAnsi="宋体" w:cs="宋体" w:eastAsia="宋体"/>
          <w:color w:val="222222"/>
          <w:sz w:val="27"/>
        </w:rPr>
        <w:t xml:space="preserve"> </w:t>
      </w:r>
      <w:r>
        <w:rPr>
          <w:rFonts w:ascii="宋体" w:hAnsi="宋体" w:cs="宋体" w:eastAsia="宋体"/>
          <w:color w:val="222222"/>
          <w:sz w:val="27"/>
        </w:rPr>
        <w:t xml:space="preserve"> </w:t>
      </w:r>
      <w:r>
        <w:rPr>
          <w:rFonts w:ascii="宋体" w:hAnsi="宋体" w:cs="宋体" w:eastAsia="宋体"/>
          <w:color w:val="222222"/>
          <w:sz w:val="27"/>
        </w:rPr>
        <w:t xml:space="preserve"> </w:t>
      </w:r>
      <w:r>
        <w:rPr>
          <w:rFonts w:ascii="宋体" w:hAnsi="宋体" w:cs="宋体" w:eastAsia="宋体"/>
          <w:color w:val="222222"/>
          <w:sz w:val="27"/>
        </w:rPr>
        <w:t xml:space="preserve"> </w:t>
      </w:r>
      <w:r>
        <w:rPr>
          <w:rFonts w:ascii="宋体" w:hAnsi="宋体" w:cs="宋体" w:eastAsia="宋体"/>
          <w:color w:val="222222"/>
          <w:sz w:val="27"/>
        </w:rPr>
        <w:t xml:space="preserve"> </w:t>
      </w:r>
      <w:r>
        <w:rPr>
          <w:rFonts w:ascii="宋体" w:hAnsi="宋体" w:cs="宋体" w:eastAsia="宋体"/>
          <w:color w:val="222222"/>
          <w:sz w:val="27"/>
        </w:rPr>
        <w:t>内付款：</w:t>
      </w:r>
    </w:p>
    <w:p>
      <w:pPr>
        <w:shd w:fill="FFFFFF"/>
        <w:jc w:val="both"/>
      </w:pPr>
      <w:r>
        <w:rPr>
          <w:rFonts w:ascii="宋体" w:hAnsi="宋体" w:cs="宋体" w:eastAsia="宋体"/>
          <w:color w:val="222222"/>
          <w:sz w:val="27"/>
        </w:rPr>
        <w:t>　　1.在合同实施及服务人员到达服务地后__天内，甲方应将第一次付　　款总服务费的__(-%)付给乙方。</w:t>
      </w:r>
    </w:p>
    <w:p>
      <w:pPr>
        <w:shd w:fill="FFFFFF"/>
        <w:jc w:val="both"/>
      </w:pPr>
      <w:r>
        <w:rPr>
          <w:rFonts w:ascii="宋体" w:hAnsi="宋体" w:cs="宋体" w:eastAsia="宋体"/>
          <w:color w:val="222222"/>
          <w:sz w:val="27"/>
        </w:rPr>
        <w:t>　　2.第二次付款额应为总服务费的__(-%)，甲方应在乙方已经准备好，并递交了服务报告及其它相关文件，而这些报告和文件符合合同附件上的要求并被甲方验收后付给乙方。</w:t>
      </w:r>
    </w:p>
    <w:p>
      <w:pPr>
        <w:shd w:fill="FFFFFF"/>
        <w:jc w:val="both"/>
      </w:pPr>
      <w:r>
        <w:rPr>
          <w:rFonts w:ascii="宋体" w:hAnsi="宋体" w:cs="宋体" w:eastAsia="宋体"/>
          <w:color w:val="222222"/>
          <w:sz w:val="27"/>
        </w:rPr>
        <w:t>　　3.最后一次付款额应为总服务费的__(-%)，甲方应在乙方递交了服务总结报告和说明并完全履行合同完毕_________日内付给乙方。</w:t>
      </w:r>
    </w:p>
    <w:p>
      <w:pPr>
        <w:shd w:fill="FFFFFF"/>
        <w:jc w:val="both"/>
      </w:pPr>
      <w:r>
        <w:rPr>
          <w:rFonts w:ascii="宋体" w:hAnsi="宋体" w:cs="宋体" w:eastAsia="宋体"/>
          <w:color w:val="222222"/>
          <w:sz w:val="27"/>
        </w:rPr>
        <w:t>　　4.对于满足合同约定支付条件的，甲方应当自收到发票后30日内将资金支付到合同约定的乙方账户，不得以机构变动、人员更替、政策调整等为由延迟付款，不得将采购文件和合同中未规定的义务作为向乙方付款的条件。</w:t>
      </w:r>
    </w:p>
    <w:p>
      <w:pPr>
        <w:shd w:fill="FFFFFF"/>
        <w:jc w:val="both"/>
      </w:pPr>
      <w:r>
        <w:rPr>
          <w:rFonts w:ascii="宋体" w:hAnsi="宋体" w:cs="宋体" w:eastAsia="宋体"/>
          <w:b/>
          <w:color w:val="222222"/>
          <w:sz w:val="27"/>
        </w:rPr>
        <w:t>六、知识产权归属</w:t>
      </w:r>
    </w:p>
    <w:p>
      <w:pPr>
        <w:shd w:fill="FFFFFF"/>
        <w:jc w:val="both"/>
      </w:pPr>
      <w:r>
        <w:rPr>
          <w:rFonts w:ascii="宋体" w:hAnsi="宋体" w:cs="宋体" w:eastAsia="宋体"/>
          <w:b/>
          <w:color w:val="222222"/>
          <w:sz w:val="27"/>
        </w:rPr>
        <w:t>七、保密</w:t>
      </w:r>
    </w:p>
    <w:p>
      <w:pPr>
        <w:shd w:fill="FFFFFF"/>
        <w:jc w:val="both"/>
      </w:pPr>
      <w:r>
        <w:rPr>
          <w:rFonts w:ascii="宋体" w:hAnsi="宋体" w:cs="宋体" w:eastAsia="宋体"/>
          <w:b/>
          <w:color w:val="222222"/>
          <w:sz w:val="27"/>
        </w:rPr>
        <w:t>八、违约责任与赔偿损失</w:t>
      </w:r>
    </w:p>
    <w:p>
      <w:pPr>
        <w:shd w:fill="FFFFFF"/>
        <w:jc w:val="both"/>
      </w:pPr>
      <w:r>
        <w:rPr>
          <w:rFonts w:ascii="宋体" w:hAnsi="宋体" w:cs="宋体" w:eastAsia="宋体"/>
          <w:color w:val="222222"/>
          <w:sz w:val="27"/>
        </w:rPr>
        <w:t>　　1.乙方提供的服务不符合本合同规定的，甲方有权拒收，并且乙方须向甲方方支付本合同总价5%的违约金。</w:t>
      </w:r>
    </w:p>
    <w:p>
      <w:pPr>
        <w:shd w:fill="FFFFFF"/>
        <w:jc w:val="both"/>
      </w:pPr>
      <w:r>
        <w:rPr>
          <w:rFonts w:ascii="宋体" w:hAnsi="宋体" w:cs="宋体" w:eastAsia="宋体"/>
          <w:color w:val="222222"/>
          <w:sz w:val="27"/>
        </w:rPr>
        <w:t>　　2.乙方未能按本合同规定的交货时间提供服务，从逾期之日起每日按本合同总价3‰的数额向甲方支付违约金；逾期半个月以上的，甲方有权终止合同，由此造成的甲方经济损失由乙方承担。</w:t>
      </w:r>
    </w:p>
    <w:p>
      <w:pPr>
        <w:shd w:fill="FFFFFF"/>
        <w:jc w:val="both"/>
      </w:pPr>
      <w:r>
        <w:rPr>
          <w:rFonts w:ascii="宋体" w:hAnsi="宋体" w:cs="宋体" w:eastAsia="宋体"/>
          <w:color w:val="222222"/>
          <w:sz w:val="27"/>
        </w:rPr>
        <w:t>　　3.甲方无正当理由拒收接受服务，到期拒付服务款项的，甲方向乙方偿付本合同总的5%的违约金。甲方人逾期付款，则每日按本合同总价的3‰向乙方偿付违约金。</w:t>
      </w:r>
    </w:p>
    <w:p>
      <w:pPr>
        <w:shd w:fill="FFFFFF"/>
        <w:jc w:val="both"/>
      </w:pPr>
      <w:r>
        <w:rPr>
          <w:rFonts w:ascii="宋体" w:hAnsi="宋体" w:cs="宋体" w:eastAsia="宋体"/>
          <w:color w:val="222222"/>
          <w:sz w:val="27"/>
        </w:rPr>
        <w:t>　　4.对于因甲方原因导致变更、中止或者终止政府采购合同的，甲方应当依照以下合同约定对供应商受到的损失予以赔偿或者补偿：</w:t>
      </w:r>
    </w:p>
    <w:p>
      <w:pPr>
        <w:shd w:fill="FFFFFF"/>
        <w:jc w:val="both"/>
      </w:pPr>
      <w:r>
        <w:rPr>
          <w:rFonts w:ascii="宋体" w:hAnsi="宋体" w:cs="宋体" w:eastAsia="宋体"/>
          <w:color w:val="222222"/>
          <w:sz w:val="27"/>
        </w:rPr>
        <w:t xml:space="preserve"> </w:t>
      </w:r>
      <w:r>
        <w:rPr>
          <w:rFonts w:ascii="宋体" w:hAnsi="宋体" w:cs="宋体" w:eastAsia="宋体"/>
          <w:color w:val="222222"/>
          <w:sz w:val="27"/>
        </w:rPr>
        <w:t xml:space="preserve"> </w:t>
      </w:r>
      <w:r>
        <w:rPr>
          <w:rFonts w:ascii="宋体" w:hAnsi="宋体" w:cs="宋体" w:eastAsia="宋体"/>
          <w:color w:val="222222"/>
          <w:sz w:val="27"/>
        </w:rPr>
        <w:t xml:space="preserve"> </w:t>
      </w:r>
      <w:r>
        <w:rPr>
          <w:rFonts w:ascii="宋体" w:hAnsi="宋体" w:cs="宋体" w:eastAsia="宋体"/>
          <w:color w:val="222222"/>
          <w:sz w:val="27"/>
        </w:rPr>
        <w:t xml:space="preserve"> </w:t>
      </w:r>
      <w:r>
        <w:rPr>
          <w:rFonts w:ascii="宋体" w:hAnsi="宋体" w:cs="宋体" w:eastAsia="宋体"/>
          <w:color w:val="222222"/>
          <w:sz w:val="27"/>
        </w:rPr>
        <w:t xml:space="preserve"> </w:t>
      </w:r>
      <w:r>
        <w:rPr>
          <w:rFonts w:ascii="宋体" w:hAnsi="宋体" w:cs="宋体" w:eastAsia="宋体"/>
          <w:color w:val="222222"/>
          <w:sz w:val="27"/>
        </w:rPr>
        <w:t xml:space="preserve"> </w:t>
      </w:r>
      <w:r>
        <w:rPr>
          <w:rFonts w:ascii="宋体" w:hAnsi="宋体" w:cs="宋体" w:eastAsia="宋体"/>
          <w:color w:val="222222"/>
          <w:sz w:val="27"/>
        </w:rPr>
        <w:t xml:space="preserve"> </w:t>
      </w:r>
      <w:r>
        <w:rPr>
          <w:rFonts w:ascii="宋体" w:hAnsi="宋体" w:cs="宋体" w:eastAsia="宋体"/>
          <w:color w:val="222222"/>
          <w:sz w:val="27"/>
        </w:rPr>
        <w:t xml:space="preserve"> </w:t>
      </w:r>
      <w:r>
        <w:rPr>
          <w:rFonts w:ascii="宋体" w:hAnsi="宋体" w:cs="宋体" w:eastAsia="宋体"/>
          <w:color w:val="222222"/>
          <w:sz w:val="27"/>
        </w:rPr>
        <w:t xml:space="preserve"> </w:t>
      </w:r>
      <w:r>
        <w:rPr>
          <w:rFonts w:ascii="宋体" w:hAnsi="宋体" w:cs="宋体" w:eastAsia="宋体"/>
          <w:color w:val="222222"/>
          <w:sz w:val="27"/>
        </w:rPr>
        <w:t xml:space="preserve"> </w:t>
      </w:r>
      <w:r>
        <w:rPr>
          <w:rFonts w:ascii="宋体" w:hAnsi="宋体" w:cs="宋体" w:eastAsia="宋体"/>
          <w:color w:val="222222"/>
          <w:sz w:val="27"/>
        </w:rPr>
        <w:t xml:space="preserve"> </w:t>
      </w:r>
      <w:r>
        <w:rPr>
          <w:rFonts w:ascii="宋体" w:hAnsi="宋体" w:cs="宋体" w:eastAsia="宋体"/>
          <w:color w:val="222222"/>
          <w:sz w:val="27"/>
        </w:rPr>
        <w:t xml:space="preserve"> </w:t>
      </w:r>
      <w:r>
        <w:rPr>
          <w:rFonts w:ascii="宋体" w:hAnsi="宋体" w:cs="宋体" w:eastAsia="宋体"/>
          <w:color w:val="222222"/>
          <w:sz w:val="27"/>
        </w:rPr>
        <w:t xml:space="preserve"> </w:t>
      </w:r>
      <w:r>
        <w:rPr>
          <w:rFonts w:ascii="宋体" w:hAnsi="宋体" w:cs="宋体" w:eastAsia="宋体"/>
          <w:color w:val="222222"/>
          <w:sz w:val="27"/>
        </w:rPr>
        <w:t xml:space="preserve"> </w:t>
      </w:r>
    </w:p>
    <w:p>
      <w:pPr>
        <w:shd w:fill="FFFFFF"/>
        <w:jc w:val="both"/>
      </w:pPr>
      <w:r>
        <w:rPr>
          <w:rFonts w:ascii="宋体" w:hAnsi="宋体" w:cs="宋体" w:eastAsia="宋体"/>
          <w:color w:val="222222"/>
          <w:sz w:val="27"/>
        </w:rPr>
        <w:t>　　5.其它违约责任按《</w:t>
      </w:r>
      <w:r>
        <w:rPr>
          <w:rFonts w:ascii="宋体" w:hAnsi="宋体" w:cs="宋体" w:eastAsia="宋体"/>
          <w:color w:val="222222"/>
          <w:sz w:val="27"/>
        </w:rPr>
        <w:t>中华人民共和国民法典(合同编)</w:t>
      </w:r>
      <w:r>
        <w:rPr>
          <w:rFonts w:ascii="宋体" w:hAnsi="宋体" w:cs="宋体" w:eastAsia="宋体"/>
          <w:color w:val="222222"/>
          <w:sz w:val="27"/>
        </w:rPr>
        <w:t>》处理。</w:t>
      </w:r>
    </w:p>
    <w:p>
      <w:pPr>
        <w:shd w:fill="FFFFFF"/>
        <w:jc w:val="both"/>
      </w:pPr>
      <w:r>
        <w:rPr>
          <w:rFonts w:ascii="宋体" w:hAnsi="宋体" w:cs="宋体" w:eastAsia="宋体"/>
          <w:b/>
          <w:color w:val="222222"/>
          <w:sz w:val="27"/>
        </w:rPr>
        <w:t>九、争议的解决</w:t>
      </w:r>
    </w:p>
    <w:p>
      <w:pPr>
        <w:shd w:fill="FFFFFF"/>
        <w:ind w:firstLine="400"/>
        <w:jc w:val="both"/>
      </w:pPr>
      <w:r>
        <w:rPr>
          <w:rFonts w:ascii="宋体" w:hAnsi="宋体" w:cs="宋体" w:eastAsia="宋体"/>
          <w:color w:val="222222"/>
          <w:sz w:val="27"/>
        </w:rPr>
        <w:t>合同执行过程中发生的任何争议，如双方不能通过友好协商解决，按相关法律法规处理。</w:t>
      </w:r>
      <w:r>
        <w:rPr>
          <w:rFonts w:ascii="helvetica" w:hAnsi="helvetica" w:cs="helvetica" w:eastAsia="helvetica"/>
          <w:color w:val="222222"/>
          <w:sz w:val="27"/>
        </w:rPr>
        <w:t xml:space="preserve"> </w:t>
      </w:r>
      <w:r>
        <w:rPr>
          <w:rFonts w:ascii="宋体" w:hAnsi="宋体" w:cs="宋体" w:eastAsia="宋体"/>
          <w:color w:val="222222"/>
          <w:sz w:val="27"/>
        </w:rPr>
        <w:t xml:space="preserve"> </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r>
        <w:rPr>
          <w:rFonts w:ascii="helvetica" w:hAnsi="helvetica" w:cs="helvetica" w:eastAsia="helvetica"/>
          <w:color w:val="222222"/>
          <w:sz w:val="27"/>
        </w:rPr>
        <w:t xml:space="preserve"> </w:t>
      </w:r>
    </w:p>
    <w:p>
      <w:pPr>
        <w:shd w:fill="FFFFFF"/>
        <w:jc w:val="both"/>
      </w:pPr>
      <w:r>
        <w:rPr>
          <w:rFonts w:ascii="宋体" w:hAnsi="宋体" w:cs="宋体" w:eastAsia="宋体"/>
          <w:b/>
          <w:color w:val="222222"/>
          <w:sz w:val="27"/>
        </w:rPr>
        <w:t>十、不可抗力</w:t>
      </w:r>
    </w:p>
    <w:p>
      <w:pPr>
        <w:shd w:fill="FFFFFF"/>
        <w:jc w:val="both"/>
      </w:pPr>
      <w:r>
        <w:rPr>
          <w:rFonts w:ascii="宋体" w:hAnsi="宋体" w:cs="宋体" w:eastAsia="宋体"/>
          <w:color w:val="222222"/>
          <w:sz w:val="27"/>
        </w:rPr>
        <w:t>　　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shd w:fill="FFFFFF"/>
        <w:jc w:val="both"/>
      </w:pPr>
      <w:r>
        <w:rPr>
          <w:rFonts w:ascii="宋体" w:hAnsi="宋体" w:cs="宋体" w:eastAsia="宋体"/>
          <w:b/>
          <w:color w:val="222222"/>
          <w:sz w:val="27"/>
        </w:rPr>
        <w:t>十一、税费</w:t>
      </w:r>
    </w:p>
    <w:p>
      <w:pPr>
        <w:shd w:fill="FFFFFF"/>
        <w:jc w:val="both"/>
      </w:pPr>
      <w:r>
        <w:rPr>
          <w:rFonts w:ascii="宋体" w:hAnsi="宋体" w:cs="宋体" w:eastAsia="宋体"/>
          <w:color w:val="222222"/>
          <w:sz w:val="27"/>
        </w:rPr>
        <w:t>　　在中国境内、外发生的与本合同执行有关的一切税费均由乙方负担。</w:t>
      </w:r>
    </w:p>
    <w:p>
      <w:pPr>
        <w:shd w:fill="FFFFFF"/>
        <w:jc w:val="both"/>
      </w:pPr>
      <w:r>
        <w:rPr>
          <w:rFonts w:ascii="宋体" w:hAnsi="宋体" w:cs="宋体" w:eastAsia="宋体"/>
          <w:b/>
          <w:color w:val="222222"/>
          <w:sz w:val="27"/>
        </w:rPr>
        <w:t>十二、其它</w:t>
      </w:r>
    </w:p>
    <w:p>
      <w:pPr>
        <w:shd w:fill="FFFFFF"/>
        <w:jc w:val="both"/>
      </w:pPr>
      <w:r>
        <w:rPr>
          <w:rFonts w:ascii="宋体" w:hAnsi="宋体" w:cs="宋体" w:eastAsia="宋体"/>
          <w:color w:val="222222"/>
          <w:sz w:val="27"/>
        </w:rPr>
        <w:t>　　1.本合同所有附件、招标文件、投标文件、中标通知书均为合同的有效组成部分，与本合同具有同等法律效力。</w:t>
      </w:r>
    </w:p>
    <w:p>
      <w:pPr>
        <w:shd w:fill="FFFFFF"/>
        <w:jc w:val="both"/>
      </w:pPr>
      <w:r>
        <w:rPr>
          <w:rFonts w:ascii="宋体" w:hAnsi="宋体" w:cs="宋体" w:eastAsia="宋体"/>
          <w:color w:val="222222"/>
          <w:sz w:val="27"/>
        </w:rPr>
        <w:t>　　2.在执行本合同的过程中，所有经双方签署确认的文件（包括会议纪要、补充协议、往来信函）即成为本合同的有效组成部分。</w:t>
      </w:r>
    </w:p>
    <w:p>
      <w:pPr>
        <w:shd w:fill="FFFFFF"/>
        <w:jc w:val="both"/>
      </w:pPr>
      <w:r>
        <w:rPr>
          <w:rFonts w:ascii="宋体" w:hAnsi="宋体" w:cs="宋体" w:eastAsia="宋体"/>
          <w:color w:val="222222"/>
          <w:sz w:val="27"/>
        </w:rPr>
        <w:t>　　3.如一方地址、电话、传真号码有变更，应在变更当日内书面通知对方，否则，应承担相应责任。</w:t>
      </w:r>
    </w:p>
    <w:p>
      <w:pPr>
        <w:shd w:fill="FFFFFF"/>
        <w:jc w:val="both"/>
      </w:pPr>
      <w:r>
        <w:rPr>
          <w:rFonts w:ascii="宋体" w:hAnsi="宋体" w:cs="宋体" w:eastAsia="宋体"/>
          <w:color w:val="222222"/>
          <w:sz w:val="27"/>
        </w:rPr>
        <w:t>　　4.除甲方事先书面同意外，乙方不得部分或全部转让其应履行的合同项下的义务。</w:t>
      </w:r>
    </w:p>
    <w:p>
      <w:pPr>
        <w:shd w:fill="FFFFFF"/>
        <w:jc w:val="both"/>
      </w:pPr>
      <w:r>
        <w:rPr>
          <w:rFonts w:ascii="宋体" w:hAnsi="宋体" w:cs="宋体" w:eastAsia="宋体"/>
          <w:b/>
          <w:color w:val="222222"/>
          <w:sz w:val="27"/>
        </w:rPr>
        <w:t>十三、合同生效</w:t>
      </w:r>
    </w:p>
    <w:p>
      <w:pPr>
        <w:shd w:fill="FFFFFF"/>
        <w:jc w:val="both"/>
      </w:pPr>
      <w:r>
        <w:rPr>
          <w:rFonts w:ascii="宋体" w:hAnsi="宋体" w:cs="宋体" w:eastAsia="宋体"/>
          <w:color w:val="222222"/>
          <w:sz w:val="27"/>
        </w:rPr>
        <w:t>　　1.本合同在甲乙双方法人代表或其授权代表签字盖章后生效。</w:t>
      </w:r>
    </w:p>
    <w:p>
      <w:pPr>
        <w:shd w:fill="FFFFFF"/>
        <w:jc w:val="both"/>
      </w:pPr>
      <w:r>
        <w:rPr>
          <w:rFonts w:ascii="宋体" w:hAnsi="宋体" w:cs="宋体" w:eastAsia="宋体"/>
          <w:color w:val="222222"/>
          <w:sz w:val="27"/>
        </w:rPr>
        <w:t>　　2.合同一式</w:t>
      </w:r>
      <w:r>
        <w:rPr>
          <w:rFonts w:ascii="宋体" w:hAnsi="宋体" w:cs="宋体" w:eastAsia="宋体"/>
          <w:color w:val="222222"/>
          <w:sz w:val="27"/>
        </w:rPr>
        <w:t xml:space="preserve"> </w:t>
      </w:r>
      <w:r>
        <w:rPr>
          <w:rFonts w:ascii="宋体" w:hAnsi="宋体" w:cs="宋体" w:eastAsia="宋体"/>
          <w:color w:val="222222"/>
          <w:sz w:val="27"/>
        </w:rPr>
        <w:t xml:space="preserve"> </w:t>
      </w:r>
      <w:r>
        <w:rPr>
          <w:rFonts w:ascii="宋体" w:hAnsi="宋体" w:cs="宋体" w:eastAsia="宋体"/>
          <w:color w:val="222222"/>
          <w:sz w:val="27"/>
        </w:rPr>
        <w:t xml:space="preserve"> </w:t>
      </w:r>
      <w:r>
        <w:rPr>
          <w:rFonts w:ascii="宋体" w:hAnsi="宋体" w:cs="宋体" w:eastAsia="宋体"/>
          <w:color w:val="222222"/>
          <w:sz w:val="27"/>
        </w:rPr>
        <w:t xml:space="preserve"> </w:t>
      </w:r>
      <w:r>
        <w:rPr>
          <w:rFonts w:ascii="宋体" w:hAnsi="宋体" w:cs="宋体" w:eastAsia="宋体"/>
          <w:color w:val="222222"/>
          <w:sz w:val="27"/>
        </w:rPr>
        <w:t>份。</w:t>
      </w:r>
    </w:p>
    <w:p>
      <w:pPr>
        <w:shd w:fill="FFFFFF"/>
        <w:jc w:val="both"/>
      </w:pPr>
      <w:r>
        <w:rPr>
          <w:rFonts w:ascii="helvetica" w:hAnsi="helvetica" w:cs="helvetica" w:eastAsia="helvetica"/>
          <w:color w:val="222222"/>
          <w:sz w:val="27"/>
        </w:rPr>
        <w:t xml:space="preserve"> </w:t>
      </w:r>
    </w:p>
    <w:p>
      <w:pPr>
        <w:shd w:fill="FFFFFF"/>
        <w:jc w:val="both"/>
      </w:pPr>
      <w:r>
        <w:rPr>
          <w:rFonts w:ascii="宋体" w:hAnsi="宋体" w:cs="宋体" w:eastAsia="宋体"/>
          <w:b/>
          <w:color w:val="222222"/>
          <w:sz w:val="27"/>
        </w:rPr>
        <w:t>甲方（盖章）：</w:t>
      </w:r>
      <w:r>
        <w:rPr>
          <w:rFonts w:ascii="宋体" w:hAnsi="宋体" w:cs="宋体" w:eastAsia="宋体"/>
          <w:b/>
          <w:color w:val="222222"/>
          <w:sz w:val="27"/>
        </w:rPr>
        <w:t xml:space="preserve"> </w:t>
      </w:r>
      <w:r>
        <w:rPr>
          <w:rFonts w:ascii="宋体" w:hAnsi="宋体" w:cs="宋体" w:eastAsia="宋体"/>
          <w:b/>
          <w:color w:val="222222"/>
          <w:sz w:val="27"/>
        </w:rPr>
        <w:t xml:space="preserve"> </w:t>
      </w:r>
      <w:r>
        <w:rPr>
          <w:rFonts w:ascii="宋体" w:hAnsi="宋体" w:cs="宋体" w:eastAsia="宋体"/>
          <w:b/>
          <w:color w:val="222222"/>
          <w:sz w:val="27"/>
        </w:rPr>
        <w:t xml:space="preserve"> </w:t>
      </w:r>
      <w:r>
        <w:rPr>
          <w:rFonts w:ascii="宋体" w:hAnsi="宋体" w:cs="宋体" w:eastAsia="宋体"/>
          <w:b/>
          <w:color w:val="222222"/>
          <w:sz w:val="27"/>
        </w:rPr>
        <w:t xml:space="preserve"> </w:t>
      </w:r>
      <w:r>
        <w:rPr>
          <w:rFonts w:ascii="宋体" w:hAnsi="宋体" w:cs="宋体" w:eastAsia="宋体"/>
          <w:b/>
          <w:color w:val="222222"/>
          <w:sz w:val="27"/>
        </w:rPr>
        <w:t xml:space="preserve"> </w:t>
      </w:r>
      <w:r>
        <w:rPr>
          <w:rFonts w:ascii="宋体" w:hAnsi="宋体" w:cs="宋体" w:eastAsia="宋体"/>
          <w:b/>
          <w:color w:val="222222"/>
          <w:sz w:val="27"/>
        </w:rPr>
        <w:t xml:space="preserve"> </w:t>
      </w:r>
      <w:r>
        <w:rPr>
          <w:rFonts w:ascii="宋体" w:hAnsi="宋体" w:cs="宋体" w:eastAsia="宋体"/>
          <w:b/>
          <w:color w:val="222222"/>
          <w:sz w:val="27"/>
        </w:rPr>
        <w:t xml:space="preserve"> </w:t>
      </w:r>
      <w:r>
        <w:rPr>
          <w:rFonts w:ascii="宋体" w:hAnsi="宋体" w:cs="宋体" w:eastAsia="宋体"/>
          <w:b/>
          <w:color w:val="222222"/>
          <w:sz w:val="27"/>
        </w:rPr>
        <w:t xml:space="preserve"> </w:t>
      </w:r>
      <w:r>
        <w:rPr>
          <w:rFonts w:ascii="宋体" w:hAnsi="宋体" w:cs="宋体" w:eastAsia="宋体"/>
          <w:b/>
          <w:color w:val="222222"/>
          <w:sz w:val="27"/>
        </w:rPr>
        <w:t xml:space="preserve"> </w:t>
      </w:r>
      <w:r>
        <w:rPr>
          <w:rFonts w:ascii="宋体" w:hAnsi="宋体" w:cs="宋体" w:eastAsia="宋体"/>
          <w:b/>
          <w:color w:val="222222"/>
          <w:sz w:val="27"/>
        </w:rPr>
        <w:t xml:space="preserve"> </w:t>
      </w:r>
      <w:r>
        <w:rPr>
          <w:rFonts w:ascii="宋体" w:hAnsi="宋体" w:cs="宋体" w:eastAsia="宋体"/>
          <w:b/>
          <w:color w:val="222222"/>
          <w:sz w:val="27"/>
        </w:rPr>
        <w:t xml:space="preserve"> </w:t>
      </w:r>
      <w:r>
        <w:rPr>
          <w:rFonts w:ascii="宋体" w:hAnsi="宋体" w:cs="宋体" w:eastAsia="宋体"/>
          <w:b/>
          <w:color w:val="222222"/>
          <w:sz w:val="27"/>
        </w:rPr>
        <w:t xml:space="preserve"> </w:t>
      </w:r>
      <w:r>
        <w:rPr>
          <w:rFonts w:ascii="宋体" w:hAnsi="宋体" w:cs="宋体" w:eastAsia="宋体"/>
          <w:b/>
          <w:color w:val="222222"/>
          <w:sz w:val="27"/>
        </w:rPr>
        <w:t xml:space="preserve"> </w:t>
      </w:r>
      <w:r>
        <w:rPr>
          <w:rFonts w:ascii="宋体" w:hAnsi="宋体" w:cs="宋体" w:eastAsia="宋体"/>
          <w:b/>
          <w:color w:val="222222"/>
          <w:sz w:val="27"/>
        </w:rPr>
        <w:t xml:space="preserve"> </w:t>
      </w:r>
      <w:r>
        <w:rPr>
          <w:rFonts w:ascii="宋体" w:hAnsi="宋体" w:cs="宋体" w:eastAsia="宋体"/>
          <w:b/>
          <w:color w:val="222222"/>
          <w:sz w:val="27"/>
        </w:rPr>
        <w:t xml:space="preserve"> </w:t>
      </w:r>
      <w:r>
        <w:rPr>
          <w:rFonts w:ascii="宋体" w:hAnsi="宋体" w:cs="宋体" w:eastAsia="宋体"/>
          <w:b/>
          <w:color w:val="222222"/>
          <w:sz w:val="27"/>
        </w:rPr>
        <w:t>乙方（盖章）：</w:t>
      </w:r>
    </w:p>
    <w:p>
      <w:pPr>
        <w:shd w:fill="FFFFFF"/>
        <w:jc w:val="both"/>
      </w:pPr>
      <w:r>
        <w:rPr>
          <w:rFonts w:ascii="宋体" w:hAnsi="宋体" w:cs="宋体" w:eastAsia="宋体"/>
          <w:b/>
          <w:color w:val="222222"/>
          <w:sz w:val="27"/>
        </w:rPr>
        <w:t>代表：</w:t>
      </w:r>
      <w:r>
        <w:rPr>
          <w:rFonts w:ascii="宋体" w:hAnsi="宋体" w:cs="宋体" w:eastAsia="宋体"/>
          <w:b/>
          <w:color w:val="222222"/>
          <w:sz w:val="27"/>
        </w:rPr>
        <w:t xml:space="preserve"> </w:t>
      </w:r>
      <w:r>
        <w:rPr>
          <w:rFonts w:ascii="宋体" w:hAnsi="宋体" w:cs="宋体" w:eastAsia="宋体"/>
          <w:b/>
          <w:color w:val="222222"/>
          <w:sz w:val="27"/>
        </w:rPr>
        <w:t xml:space="preserve"> </w:t>
      </w:r>
      <w:r>
        <w:rPr>
          <w:rFonts w:ascii="宋体" w:hAnsi="宋体" w:cs="宋体" w:eastAsia="宋体"/>
          <w:b/>
          <w:color w:val="222222"/>
          <w:sz w:val="27"/>
        </w:rPr>
        <w:t xml:space="preserve"> </w:t>
      </w:r>
      <w:r>
        <w:rPr>
          <w:rFonts w:ascii="宋体" w:hAnsi="宋体" w:cs="宋体" w:eastAsia="宋体"/>
          <w:b/>
          <w:color w:val="222222"/>
          <w:sz w:val="27"/>
        </w:rPr>
        <w:t xml:space="preserve"> </w:t>
      </w:r>
      <w:r>
        <w:rPr>
          <w:rFonts w:ascii="宋体" w:hAnsi="宋体" w:cs="宋体" w:eastAsia="宋体"/>
          <w:b/>
          <w:color w:val="222222"/>
          <w:sz w:val="27"/>
        </w:rPr>
        <w:t xml:space="preserve"> </w:t>
      </w:r>
      <w:r>
        <w:rPr>
          <w:rFonts w:ascii="宋体" w:hAnsi="宋体" w:cs="宋体" w:eastAsia="宋体"/>
          <w:b/>
          <w:color w:val="222222"/>
          <w:sz w:val="27"/>
        </w:rPr>
        <w:t xml:space="preserve"> </w:t>
      </w:r>
      <w:r>
        <w:rPr>
          <w:rFonts w:ascii="宋体" w:hAnsi="宋体" w:cs="宋体" w:eastAsia="宋体"/>
          <w:b/>
          <w:color w:val="222222"/>
          <w:sz w:val="27"/>
        </w:rPr>
        <w:t xml:space="preserve"> </w:t>
      </w:r>
      <w:r>
        <w:rPr>
          <w:rFonts w:ascii="宋体" w:hAnsi="宋体" w:cs="宋体" w:eastAsia="宋体"/>
          <w:b/>
          <w:color w:val="222222"/>
          <w:sz w:val="27"/>
        </w:rPr>
        <w:t xml:space="preserve"> </w:t>
      </w:r>
      <w:r>
        <w:rPr>
          <w:rFonts w:ascii="宋体" w:hAnsi="宋体" w:cs="宋体" w:eastAsia="宋体"/>
          <w:b/>
          <w:color w:val="222222"/>
          <w:sz w:val="27"/>
        </w:rPr>
        <w:t xml:space="preserve"> </w:t>
      </w:r>
      <w:r>
        <w:rPr>
          <w:rFonts w:ascii="宋体" w:hAnsi="宋体" w:cs="宋体" w:eastAsia="宋体"/>
          <w:b/>
          <w:color w:val="222222"/>
          <w:sz w:val="27"/>
        </w:rPr>
        <w:t xml:space="preserve"> </w:t>
      </w:r>
      <w:r>
        <w:rPr>
          <w:rFonts w:ascii="宋体" w:hAnsi="宋体" w:cs="宋体" w:eastAsia="宋体"/>
          <w:b/>
          <w:color w:val="222222"/>
          <w:sz w:val="27"/>
        </w:rPr>
        <w:t xml:space="preserve"> </w:t>
      </w:r>
      <w:r>
        <w:rPr>
          <w:rFonts w:ascii="宋体" w:hAnsi="宋体" w:cs="宋体" w:eastAsia="宋体"/>
          <w:b/>
          <w:color w:val="222222"/>
          <w:sz w:val="27"/>
        </w:rPr>
        <w:t xml:space="preserve"> </w:t>
      </w:r>
      <w:r>
        <w:rPr>
          <w:rFonts w:ascii="宋体" w:hAnsi="宋体" w:cs="宋体" w:eastAsia="宋体"/>
          <w:b/>
          <w:color w:val="222222"/>
          <w:sz w:val="27"/>
        </w:rPr>
        <w:t xml:space="preserve"> </w:t>
      </w:r>
      <w:r>
        <w:rPr>
          <w:rFonts w:ascii="宋体" w:hAnsi="宋体" w:cs="宋体" w:eastAsia="宋体"/>
          <w:b/>
          <w:color w:val="222222"/>
          <w:sz w:val="27"/>
        </w:rPr>
        <w:t xml:space="preserve"> </w:t>
      </w:r>
      <w:r>
        <w:rPr>
          <w:rFonts w:ascii="宋体" w:hAnsi="宋体" w:cs="宋体" w:eastAsia="宋体"/>
          <w:b/>
          <w:color w:val="222222"/>
          <w:sz w:val="27"/>
        </w:rPr>
        <w:t xml:space="preserve"> </w:t>
      </w:r>
      <w:r>
        <w:rPr>
          <w:rFonts w:ascii="宋体" w:hAnsi="宋体" w:cs="宋体" w:eastAsia="宋体"/>
          <w:b/>
          <w:color w:val="222222"/>
          <w:sz w:val="27"/>
        </w:rPr>
        <w:t xml:space="preserve"> </w:t>
      </w:r>
      <w:r>
        <w:rPr>
          <w:rFonts w:ascii="宋体" w:hAnsi="宋体" w:cs="宋体" w:eastAsia="宋体"/>
          <w:b/>
          <w:color w:val="222222"/>
          <w:sz w:val="27"/>
        </w:rPr>
        <w:t xml:space="preserve"> </w:t>
      </w:r>
      <w:r>
        <w:rPr>
          <w:rFonts w:ascii="宋体" w:hAnsi="宋体" w:cs="宋体" w:eastAsia="宋体"/>
          <w:b/>
          <w:color w:val="222222"/>
          <w:sz w:val="27"/>
        </w:rPr>
        <w:t xml:space="preserve"> </w:t>
      </w:r>
      <w:r>
        <w:rPr>
          <w:rFonts w:ascii="宋体" w:hAnsi="宋体" w:cs="宋体" w:eastAsia="宋体"/>
          <w:b/>
          <w:color w:val="222222"/>
          <w:sz w:val="27"/>
        </w:rPr>
        <w:t xml:space="preserve"> </w:t>
      </w:r>
      <w:r>
        <w:rPr>
          <w:rFonts w:ascii="宋体" w:hAnsi="宋体" w:cs="宋体" w:eastAsia="宋体"/>
          <w:b/>
          <w:color w:val="222222"/>
          <w:sz w:val="27"/>
        </w:rPr>
        <w:t xml:space="preserve"> </w:t>
      </w:r>
      <w:r>
        <w:rPr>
          <w:rFonts w:ascii="宋体" w:hAnsi="宋体" w:cs="宋体" w:eastAsia="宋体"/>
          <w:b/>
          <w:color w:val="222222"/>
          <w:sz w:val="27"/>
        </w:rPr>
        <w:t xml:space="preserve"> </w:t>
      </w:r>
      <w:r>
        <w:rPr>
          <w:rFonts w:ascii="宋体" w:hAnsi="宋体" w:cs="宋体" w:eastAsia="宋体"/>
          <w:b/>
          <w:color w:val="222222"/>
          <w:sz w:val="27"/>
        </w:rPr>
        <w:t xml:space="preserve"> </w:t>
      </w:r>
      <w:r>
        <w:rPr>
          <w:rFonts w:ascii="宋体" w:hAnsi="宋体" w:cs="宋体" w:eastAsia="宋体"/>
          <w:b/>
          <w:color w:val="222222"/>
          <w:sz w:val="27"/>
        </w:rPr>
        <w:t>代表：</w:t>
      </w:r>
    </w:p>
    <w:p>
      <w:pPr>
        <w:shd w:fill="FFFFFF"/>
        <w:jc w:val="both"/>
      </w:pPr>
      <w:r>
        <w:rPr>
          <w:rFonts w:ascii="宋体" w:hAnsi="宋体" w:cs="宋体" w:eastAsia="宋体"/>
          <w:color w:val="222222"/>
          <w:sz w:val="27"/>
        </w:rPr>
        <w:t>签订地点：</w:t>
      </w:r>
    </w:p>
    <w:p>
      <w:pPr>
        <w:shd w:fill="FFFFFF"/>
        <w:jc w:val="both"/>
      </w:pPr>
      <w:r>
        <w:rPr>
          <w:rFonts w:ascii="宋体" w:hAnsi="宋体" w:cs="宋体" w:eastAsia="宋体"/>
          <w:color w:val="222222"/>
          <w:sz w:val="27"/>
        </w:rPr>
        <w:t>签订日期：　　　年　　月　　日</w:t>
      </w:r>
      <w:r>
        <w:rPr>
          <w:rFonts w:ascii="宋体" w:hAnsi="宋体" w:cs="宋体" w:eastAsia="宋体"/>
          <w:color w:val="222222"/>
          <w:sz w:val="27"/>
        </w:rPr>
        <w:t xml:space="preserve"> </w:t>
      </w:r>
      <w:r>
        <w:rPr>
          <w:rFonts w:ascii="宋体" w:hAnsi="宋体" w:cs="宋体" w:eastAsia="宋体"/>
          <w:color w:val="222222"/>
          <w:sz w:val="27"/>
        </w:rPr>
        <w:t>签订日期：　　　年　　月　　日</w:t>
      </w:r>
    </w:p>
    <w:p>
      <w:pPr>
        <w:shd w:fill="FFFFFF"/>
        <w:jc w:val="both"/>
      </w:pPr>
      <w:r>
        <w:rPr>
          <w:rFonts w:ascii="宋体" w:hAnsi="宋体" w:cs="宋体" w:eastAsia="宋体"/>
          <w:color w:val="222222"/>
          <w:sz w:val="27"/>
        </w:rPr>
        <w:t>开户名称：</w:t>
      </w:r>
    </w:p>
    <w:p>
      <w:pPr>
        <w:shd w:fill="FFFFFF"/>
        <w:jc w:val="both"/>
      </w:pPr>
      <w:r>
        <w:rPr>
          <w:rFonts w:ascii="宋体" w:hAnsi="宋体" w:cs="宋体" w:eastAsia="宋体"/>
          <w:color w:val="222222"/>
          <w:sz w:val="27"/>
        </w:rPr>
        <w:t>银行帐号：</w:t>
      </w:r>
    </w:p>
    <w:p>
      <w:pPr>
        <w:shd w:fill="FFFFFF"/>
        <w:jc w:val="both"/>
      </w:pPr>
      <w:r>
        <w:rPr>
          <w:rFonts w:ascii="宋体" w:hAnsi="宋体" w:cs="宋体" w:eastAsia="宋体"/>
          <w:color w:val="222222"/>
          <w:sz w:val="27"/>
        </w:rPr>
        <w:t>开</w:t>
        <w:tab/>
        <w:tab/>
        <w:tab/>
        <w:tab/>
        <w:tab/>
        <w:t xml:space="preserve"> 户 行：</w:t>
      </w:r>
    </w:p>
    <w:p/>
    <w:p>
      <w:pPr>
        <w:ind w:firstLine="480"/>
      </w:pPr>
    </w:p>
    <w:p>
      <w:r>
        <w:rPr/>
        <w:t xml:space="preserve"> </w:t>
      </w:r>
    </w:p>
    <w:p/>
    <w:p>
      <w:pPr>
        <w:jc w:val="center"/>
      </w:pPr>
      <w:r>
        <w:rPr>
          <w:b/>
          <w:sz w:val="36"/>
        </w:rPr>
        <w:t>第六章 响应文件格式与要求</w:t>
      </w:r>
    </w:p>
    <w:p>
      <w:pPr>
        <w:ind w:firstLine="480"/>
      </w:pPr>
      <w:r>
        <w:rPr/>
        <w:t>供应商应提交证明其有资格参加磋商和成交后有能力履行合同的相关文件，并作为其响应文件的一部分，所有文件必须真实可靠、不得伪造，否则将按相关规定予以处罚。</w:t>
      </w:r>
    </w:p>
    <w:p>
      <w:pPr>
        <w:ind w:firstLine="480"/>
      </w:pPr>
      <w:r>
        <w:rPr/>
        <w:t>1.法人或者其他组织的营业执照等证明文件，自然人的身份证明：</w:t>
      </w:r>
    </w:p>
    <w:p>
      <w:pPr>
        <w:ind w:firstLine="480"/>
      </w:pPr>
      <w:r>
        <w:rPr/>
        <w:t>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pPr>
        <w:ind w:firstLine="480"/>
      </w:pPr>
      <w:r>
        <w:rPr/>
        <w:t>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ind w:firstLine="480"/>
      </w:pPr>
      <w:r>
        <w:rPr/>
        <w:t>2.财务状况报告，依法缴纳税收和社会保障资金的相关材料（详见资格性审查表要求）</w:t>
      </w:r>
    </w:p>
    <w:p>
      <w:pPr>
        <w:ind w:firstLine="480"/>
      </w:pPr>
      <w:r>
        <w:rPr/>
        <w:t>3.具有履行合同所必须的设备和专业技术能力的声明。</w:t>
      </w:r>
    </w:p>
    <w:p>
      <w:pPr>
        <w:ind w:firstLine="480"/>
      </w:pPr>
      <w:r>
        <w:rPr/>
        <w:t>4.供应商参加政府采购前三年内在经营活动中没有重大违法记录声明函。</w:t>
      </w:r>
    </w:p>
    <w:p>
      <w:pPr>
        <w:ind w:firstLine="480"/>
      </w:pPr>
      <w:r>
        <w:rPr/>
        <w:t>5.信用记录查询</w:t>
      </w:r>
    </w:p>
    <w:p>
      <w:pPr>
        <w:ind w:firstLine="480"/>
      </w:pPr>
      <w:r>
        <w:rPr/>
        <w:t>（1）查询渠道：通过“信用中国”网站(www.creditchina.gov.cn)和“中国政府采购网”（www.ccgp.gov.cn）进行查询；</w:t>
      </w:r>
    </w:p>
    <w:p>
      <w:pPr>
        <w:ind w:firstLine="480"/>
      </w:pPr>
      <w:r>
        <w:rPr/>
        <w:t>（2）查询截止时点：提交响应文件截止日当天；</w:t>
      </w:r>
    </w:p>
    <w:p>
      <w:pPr>
        <w:ind w:firstLine="480"/>
      </w:pPr>
      <w:r>
        <w:rPr/>
        <w:t>（3）查询记录：对列入失信被执行人、重大税收违法案件当事人名单、政府采购严重违法失信行为记录名单、信用报告进行查询；</w:t>
      </w:r>
    </w:p>
    <w:p>
      <w:pPr>
        <w:ind w:firstLine="480"/>
      </w:pPr>
      <w:r>
        <w:rPr/>
        <w:t>采购人或采购代理机构应当按照查询渠道、查询时间节点、查询记录内容进行查询，并存档。对信用记录查询结果中显示供应商被列入失信被执行人、重大税收违法案件当事人名单、政府采购严重违法失信行为记录名单的供应商作无效响应处理。</w:t>
      </w:r>
    </w:p>
    <w:p>
      <w:pPr>
        <w:ind w:firstLine="480"/>
      </w:pPr>
      <w:r>
        <w:rPr/>
        <w:t>6. 按照磋商文件要求，供应商应当提交的资格、资信证明文件。</w:t>
      </w:r>
    </w:p>
    <w:p>
      <w:pPr>
        <w:ind w:firstLine="480"/>
      </w:pPr>
    </w:p>
    <w:p>
      <w:r>
        <w:rPr/>
        <w:t xml:space="preserve"> </w:t>
      </w:r>
    </w:p>
    <w:p/>
    <w:p>
      <w:pPr>
        <w:jc w:val="center"/>
      </w:pPr>
      <w:r>
        <w:rPr>
          <w:b/>
          <w:sz w:val="48"/>
        </w:rPr>
        <w:t>响应文件封面</w:t>
      </w:r>
    </w:p>
    <w:p/>
    <w:p>
      <w:pPr>
        <w:jc w:val="center"/>
      </w:pPr>
      <w:r>
        <w:rPr>
          <w:b/>
          <w:sz w:val="48"/>
        </w:rPr>
        <w:t>（项目名称）</w:t>
      </w:r>
    </w:p>
    <w:p>
      <w:pPr>
        <w:jc w:val="center"/>
      </w:pPr>
      <w:r>
        <w:rPr>
          <w:b/>
          <w:sz w:val="48"/>
        </w:rPr>
        <w:t>响应文件封面</w:t>
      </w:r>
    </w:p>
    <w:p>
      <w:pPr>
        <w:jc w:val="center"/>
      </w:pPr>
      <w:r>
        <w:rPr>
          <w:b/>
          <w:sz w:val="24"/>
        </w:rPr>
        <w:t>（正本/副本）</w:t>
      </w:r>
    </w:p>
    <w:p/>
    <w:p>
      <w:pPr>
        <w:jc w:val="center"/>
      </w:pPr>
      <w:r>
        <w:rPr>
          <w:b/>
          <w:sz w:val="24"/>
        </w:rPr>
        <w:t>采购计划编号：</w:t>
      </w:r>
      <w:r>
        <w:rPr>
          <w:b/>
          <w:sz w:val="24"/>
        </w:rPr>
        <w:t>445303-2023-00574</w:t>
      </w:r>
    </w:p>
    <w:p>
      <w:pPr>
        <w:jc w:val="center"/>
      </w:pPr>
      <w:r>
        <w:rPr>
          <w:b/>
          <w:sz w:val="24"/>
        </w:rPr>
        <w:t>采购项目编号：</w:t>
      </w:r>
      <w:r>
        <w:rPr>
          <w:b/>
          <w:sz w:val="24"/>
        </w:rPr>
        <w:t>445303-2023-00574</w:t>
      </w:r>
    </w:p>
    <w:p>
      <w:pPr>
        <w:jc w:val="center"/>
      </w:pPr>
      <w:r>
        <w:rPr>
          <w:b/>
          <w:sz w:val="24"/>
        </w:rPr>
        <w:t>所响应采购包：第 包</w:t>
      </w:r>
    </w:p>
    <w:p/>
    <w:p>
      <w:pPr>
        <w:jc w:val="center"/>
      </w:pPr>
      <w:r>
        <w:rPr>
          <w:b/>
          <w:sz w:val="24"/>
        </w:rPr>
        <w:t>（供应商名称）</w:t>
      </w:r>
    </w:p>
    <w:p>
      <w:pPr>
        <w:jc w:val="center"/>
      </w:pPr>
      <w:r>
        <w:rPr>
          <w:b/>
          <w:sz w:val="24"/>
        </w:rPr>
        <w:t>年 月 日</w:t>
      </w:r>
    </w:p>
    <w:p>
      <w:pPr>
        <w:ind w:firstLine="480"/>
      </w:pPr>
    </w:p>
    <w:p>
      <w:r>
        <w:rPr/>
        <w:t xml:space="preserve"> </w:t>
      </w:r>
    </w:p>
    <w:p/>
    <w:p>
      <w:pPr>
        <w:jc w:val="center"/>
      </w:pPr>
      <w:r>
        <w:rPr>
          <w:b/>
          <w:sz w:val="24"/>
        </w:rPr>
        <w:t>响应文件目录</w:t>
      </w:r>
    </w:p>
    <w:p>
      <w:pPr>
        <w:ind w:firstLine="480"/>
      </w:pPr>
      <w:r>
        <w:rPr/>
        <w:t>一、响应承诺函</w:t>
      </w:r>
    </w:p>
    <w:p>
      <w:pPr>
        <w:ind w:firstLine="480"/>
      </w:pPr>
      <w:r>
        <w:rPr/>
        <w:t>二、首轮报价表</w:t>
      </w:r>
    </w:p>
    <w:p>
      <w:pPr>
        <w:ind w:firstLine="480"/>
      </w:pPr>
      <w:r>
        <w:rPr/>
        <w:t>三、分项报价表</w:t>
      </w:r>
    </w:p>
    <w:p>
      <w:pPr>
        <w:ind w:firstLine="480"/>
      </w:pPr>
      <w:r>
        <w:rPr/>
        <w:t>四、政策适用性说明</w:t>
      </w:r>
    </w:p>
    <w:p>
      <w:pPr>
        <w:ind w:firstLine="480"/>
      </w:pPr>
      <w:r>
        <w:rPr/>
        <w:t>五、法定代表人证明书</w:t>
      </w:r>
    </w:p>
    <w:p>
      <w:pPr>
        <w:ind w:firstLine="480"/>
      </w:pPr>
      <w:r>
        <w:rPr/>
        <w:t>六、法定代表人授权书</w:t>
      </w:r>
    </w:p>
    <w:p>
      <w:pPr>
        <w:ind w:firstLine="480"/>
      </w:pPr>
      <w:r>
        <w:rPr/>
        <w:t>七、响应保证金</w:t>
      </w:r>
    </w:p>
    <w:p>
      <w:pPr>
        <w:ind w:firstLine="480"/>
      </w:pPr>
      <w:r>
        <w:rPr/>
        <w:t>八、提供具有独立承担民事责任的能力的证明材料</w:t>
      </w:r>
    </w:p>
    <w:p>
      <w:pPr>
        <w:ind w:firstLine="480"/>
      </w:pPr>
      <w:r>
        <w:rPr/>
        <w:t>九、资格性审查要求的其他资质证明文件</w:t>
      </w:r>
    </w:p>
    <w:p>
      <w:pPr>
        <w:ind w:firstLine="480"/>
      </w:pPr>
      <w:r>
        <w:rPr/>
        <w:t>十、承诺函</w:t>
      </w:r>
    </w:p>
    <w:p>
      <w:pPr>
        <w:ind w:firstLine="480"/>
      </w:pPr>
      <w:r>
        <w:rPr/>
        <w:t>十一、中小企业声明函</w:t>
      </w:r>
    </w:p>
    <w:p>
      <w:pPr>
        <w:ind w:firstLine="480"/>
      </w:pPr>
      <w:r>
        <w:rPr/>
        <w:t>十二、监狱企业</w:t>
      </w:r>
    </w:p>
    <w:p>
      <w:pPr>
        <w:ind w:firstLine="480"/>
      </w:pPr>
      <w:r>
        <w:rPr/>
        <w:t>十三、残疾人福利性单位声明函</w:t>
      </w:r>
    </w:p>
    <w:p>
      <w:pPr>
        <w:ind w:firstLine="480"/>
      </w:pPr>
      <w:r>
        <w:rPr/>
        <w:t>十四、联合体共同响应协议书</w:t>
      </w:r>
    </w:p>
    <w:p>
      <w:pPr>
        <w:ind w:firstLine="480"/>
      </w:pPr>
      <w:r>
        <w:rPr/>
        <w:t>十五、供应商业绩情况表</w:t>
      </w:r>
    </w:p>
    <w:p>
      <w:pPr>
        <w:ind w:firstLine="480"/>
      </w:pPr>
      <w:r>
        <w:rPr/>
        <w:t>十六、技术和服务要求响应表</w:t>
      </w:r>
    </w:p>
    <w:p>
      <w:pPr>
        <w:ind w:firstLine="480"/>
      </w:pPr>
      <w:r>
        <w:rPr/>
        <w:t>十七、商务条件响应表</w:t>
      </w:r>
    </w:p>
    <w:p>
      <w:pPr>
        <w:ind w:firstLine="480"/>
      </w:pPr>
      <w:r>
        <w:rPr/>
        <w:t>十八、履约进度计划表</w:t>
      </w:r>
    </w:p>
    <w:p>
      <w:pPr>
        <w:ind w:firstLine="480"/>
      </w:pPr>
      <w:r>
        <w:rPr/>
        <w:t>十九、各类证明材料</w:t>
      </w:r>
    </w:p>
    <w:p>
      <w:pPr>
        <w:ind w:firstLine="480"/>
      </w:pPr>
      <w:r>
        <w:rPr/>
        <w:t>二十、采购代理服务费支付承诺书</w:t>
      </w:r>
    </w:p>
    <w:p>
      <w:pPr>
        <w:ind w:firstLine="480"/>
      </w:pPr>
      <w:r>
        <w:rPr/>
        <w:t>二十一、需要采购人提供的附加条件</w:t>
      </w:r>
    </w:p>
    <w:p>
      <w:pPr>
        <w:ind w:firstLine="480"/>
      </w:pPr>
      <w:r>
        <w:rPr/>
        <w:t>二十二、询问函、质疑函、投诉书格式</w:t>
      </w:r>
    </w:p>
    <w:p>
      <w:pPr>
        <w:ind w:firstLine="480"/>
      </w:pPr>
      <w:r>
        <w:rPr/>
        <w:t>二十三、项目实施方案、质量保证及售后服务承诺等</w:t>
      </w:r>
    </w:p>
    <w:p>
      <w:pPr>
        <w:ind w:firstLine="480"/>
      </w:pPr>
      <w:r>
        <w:rPr/>
        <w:t>二十四、附件</w:t>
      </w:r>
    </w:p>
    <w:p>
      <w:pPr>
        <w:ind w:firstLine="480"/>
      </w:pPr>
    </w:p>
    <w:p>
      <w:r>
        <w:rPr/>
        <w:t xml:space="preserve"> </w:t>
      </w:r>
    </w:p>
    <w:p/>
    <w:p>
      <w:r>
        <w:rPr>
          <w:b/>
          <w:sz w:val="28"/>
        </w:rPr>
        <w:t>格式一：</w:t>
      </w:r>
    </w:p>
    <w:p>
      <w:pPr>
        <w:jc w:val="center"/>
      </w:pPr>
      <w:r>
        <w:rPr>
          <w:b/>
          <w:sz w:val="24"/>
        </w:rPr>
        <w:t>响 应 承 诺 函</w:t>
      </w:r>
    </w:p>
    <w:p>
      <w:pPr>
        <w:ind w:firstLine="480"/>
      </w:pPr>
      <w:r>
        <w:rPr/>
        <w:t>致：</w:t>
      </w:r>
      <w:r>
        <w:rPr/>
        <w:t>云浮市国御招标代理有限公司</w:t>
      </w:r>
    </w:p>
    <w:p>
      <w:pPr>
        <w:ind w:firstLine="480"/>
      </w:pPr>
      <w:r>
        <w:rPr/>
        <w:t>你方组织的</w:t>
      </w:r>
      <w:r>
        <w:rPr>
          <w:u w:val="single"/>
        </w:rPr>
        <w:t>“</w:t>
      </w:r>
      <w:r>
        <w:rPr>
          <w:u w:val="single"/>
        </w:rPr>
        <w:t>云浮市云安区档案馆配套库房（简易库房）建设采购项目</w:t>
      </w:r>
      <w:r>
        <w:rPr>
          <w:u w:val="single"/>
        </w:rPr>
        <w:t>”</w:t>
      </w:r>
      <w:r>
        <w:rPr/>
        <w:t>项目的竞争性磋商[采购项目编号为：</w:t>
      </w:r>
      <w:r>
        <w:rPr>
          <w:u w:val="single"/>
        </w:rPr>
        <w:t>445303-2023-00574</w:t>
      </w:r>
      <w:r>
        <w:rPr/>
        <w:t>]，我方愿参与响应。</w:t>
      </w:r>
    </w:p>
    <w:p>
      <w:pPr>
        <w:ind w:firstLine="480"/>
      </w:pPr>
      <w:r>
        <w:rPr/>
        <w:t>我方确认收到贵方提供的</w:t>
      </w:r>
      <w:r>
        <w:rPr>
          <w:u w:val="single"/>
        </w:rPr>
        <w:t>“</w:t>
      </w:r>
      <w:r>
        <w:rPr>
          <w:u w:val="single"/>
        </w:rPr>
        <w:t>云浮市云安区档案馆配套库房（简易库房）建设采购项目</w:t>
      </w:r>
      <w:r>
        <w:rPr>
          <w:u w:val="single"/>
        </w:rPr>
        <w:t>”</w:t>
      </w:r>
      <w:r>
        <w:rPr/>
        <w:t>项目的磋商文件的全部内容。</w:t>
      </w:r>
    </w:p>
    <w:p>
      <w:pPr>
        <w:ind w:firstLine="480"/>
      </w:pPr>
      <w:r>
        <w:rPr/>
        <w:t>我方在参与响应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力。</w:t>
      </w:r>
    </w:p>
    <w:p>
      <w:pPr>
        <w:ind w:firstLine="480"/>
      </w:pPr>
      <w:r>
        <w:rPr>
          <w:u w:val="single"/>
        </w:rPr>
        <w:t>(供应商名称)</w:t>
      </w:r>
      <w:r>
        <w:rPr/>
        <w:t>作为供应商正式授权</w:t>
      </w:r>
      <w:r>
        <w:rPr>
          <w:u w:val="single"/>
        </w:rPr>
        <w:t>(授权代表全名,职务)</w:t>
      </w:r>
      <w:r>
        <w:rPr/>
        <w:t>代表我方全权处理有关本响应的一切事宜。</w:t>
      </w:r>
    </w:p>
    <w:p>
      <w:pPr>
        <w:ind w:firstLine="480"/>
      </w:pPr>
      <w:r>
        <w:rPr/>
        <w:t>我方已完全明白磋商文件的所有条款要求，并申明如下：</w:t>
      </w:r>
    </w:p>
    <w:p>
      <w:pPr>
        <w:ind w:firstLine="480"/>
      </w:pPr>
      <w:r>
        <w:rPr/>
        <w:t>（一）按磋商文件提供的全部货物（工程、服务）与相关服务的磋商总价详见《首轮报价表》。</w:t>
      </w:r>
    </w:p>
    <w:p>
      <w:pPr>
        <w:ind w:firstLine="480"/>
      </w:pPr>
      <w:r>
        <w:rPr/>
        <w:t>（二）本响应文件的有效期为</w:t>
      </w:r>
      <w:r>
        <w:rPr/>
        <w:t>从提交投标（响应）文件的截止之日起90日历天</w:t>
      </w:r>
      <w:r>
        <w:rPr/>
        <w:t>。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pPr>
        <w:ind w:firstLine="480"/>
      </w:pPr>
      <w:r>
        <w:rPr/>
        <w:t>（三）我方明白并同意，在规定的开启日之后，响应有效期之内撤回响应或成交后不按规定与采购人签订合同或不提交履约保证金, 则贵方将不予退还响应保证金。</w:t>
      </w:r>
    </w:p>
    <w:p>
      <w:pPr>
        <w:ind w:firstLine="480"/>
      </w:pPr>
      <w:r>
        <w:rPr/>
        <w:t>（四）我方愿意向贵方提供任何与本项报价有关的数据、情况和技术资料。若贵方需要，我方愿意提供我方作出的一切承诺的证明材料。</w:t>
      </w:r>
    </w:p>
    <w:p>
      <w:pPr>
        <w:ind w:firstLine="480"/>
      </w:pPr>
      <w:r>
        <w:rPr/>
        <w:t>（五）我方理解贵方不一定接受最低磋商价或任何贵方可能收到的响应。</w:t>
      </w:r>
    </w:p>
    <w:p>
      <w:pPr>
        <w:ind w:firstLine="480"/>
      </w:pPr>
      <w:r>
        <w:rPr/>
        <w:t>（六）我方如果成交，将保证履行磋商文件及其澄清、修改文件（如果有）中的全部责任和义务，按质、按量、按期完成《采购需求》及《合同书》中的全部任务。</w:t>
      </w:r>
    </w:p>
    <w:p>
      <w:pPr>
        <w:ind w:firstLine="480"/>
      </w:pPr>
      <w:r>
        <w:rPr/>
        <w:t>（七）我方作为法律、财务和运作上独立于采购人、采购代理机构的供应商，在此保证所提交的所有文件和全部说明是真实的和正确的。</w:t>
      </w:r>
    </w:p>
    <w:p>
      <w:pPr>
        <w:ind w:firstLine="480"/>
      </w:pPr>
      <w:r>
        <w:rPr/>
        <w:t>（八）我方磋商报价已包含应向知识产权所有权人支付的所有相关税费，并保证采购人在中国使用我方提供的货物时，如有第三方提出侵犯其知识产权主张的，责任由我方承担。</w:t>
      </w:r>
    </w:p>
    <w:p>
      <w:pPr>
        <w:ind w:firstLine="480"/>
      </w:pPr>
      <w:r>
        <w:rPr/>
        <w:t>（九）我方接受采购人委托向贵方支付代理服务费，项目总报价已包含代理服务费，如果被确定为成交供应商，承诺向贵方足额支付。（若采购人支付代理服务费，则此条不适用）</w:t>
      </w:r>
    </w:p>
    <w:p>
      <w:pPr>
        <w:ind w:firstLine="480"/>
      </w:pPr>
      <w:r>
        <w:rPr/>
        <w:t>（十）我方与其他供应商不存在单位负责人为同一人或者存在直接控股、管理关系。</w:t>
      </w:r>
    </w:p>
    <w:p>
      <w:pPr>
        <w:ind w:firstLine="480"/>
      </w:pPr>
      <w:r>
        <w:rPr/>
        <w:t>（十一）我方承诺未为本项目提供整体设计、规范编制或者项目管理、监理、检测等服务。</w:t>
      </w:r>
    </w:p>
    <w:p>
      <w:pPr>
        <w:ind w:firstLine="480"/>
      </w:pPr>
      <w:r>
        <w:rPr/>
        <w:t>（十二）我方未被列入法院失信被执行人名单中。</w:t>
      </w:r>
    </w:p>
    <w:p>
      <w:pPr>
        <w:ind w:firstLine="480"/>
      </w:pPr>
      <w:r>
        <w:rPr/>
        <w:t>（十三）我方具备《中华人民共和国政府采购法》第二十二条规定的条件，承诺如下：</w:t>
      </w:r>
    </w:p>
    <w:p>
      <w:pPr>
        <w:ind w:firstLine="480"/>
      </w:pPr>
      <w:r>
        <w:rPr/>
        <w:t>（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ind w:firstLine="480"/>
      </w:pPr>
      <w:r>
        <w:rPr/>
        <w:t>（2）我方符合法律、行政法规规定的其他条件。</w:t>
      </w:r>
    </w:p>
    <w:p>
      <w:pPr>
        <w:ind w:firstLine="480"/>
      </w:pPr>
      <w:r>
        <w:rPr/>
        <w:t>以上内容如有虚假或与事实不符的，磋商小组可将我方做无效响应处理，我方愿意承担相应的法律责任。</w:t>
      </w:r>
    </w:p>
    <w:p>
      <w:pPr>
        <w:ind w:firstLine="480"/>
      </w:pPr>
      <w:r>
        <w:rPr/>
        <w:t>（十四）我方对在本函及响应文件中所作的所有承诺承担法律责任。</w:t>
      </w:r>
    </w:p>
    <w:p>
      <w:pPr>
        <w:ind w:firstLine="480"/>
      </w:pPr>
      <w:r>
        <w:rPr/>
        <w:t>（十五）所有与本磋商有关的函件请发往下列地址：</w:t>
      </w:r>
    </w:p>
    <w:p>
      <w:pPr>
        <w:ind w:firstLine="480"/>
      </w:pPr>
      <w:r>
        <w:rPr/>
        <w:t>地 址：__________________，邮政编码：__________________</w:t>
      </w:r>
    </w:p>
    <w:p>
      <w:pPr>
        <w:ind w:firstLine="480"/>
      </w:pPr>
      <w:r>
        <w:rPr/>
        <w:t>电 话：__________________</w:t>
      </w:r>
    </w:p>
    <w:p>
      <w:pPr>
        <w:ind w:firstLine="480"/>
      </w:pPr>
      <w:r>
        <w:rPr/>
        <w:t>传 真：__________________，电子邮箱：__________________</w:t>
      </w:r>
    </w:p>
    <w:p>
      <w:pPr>
        <w:ind w:firstLine="480"/>
      </w:pPr>
      <w:r>
        <w:rPr/>
        <w:t>代表姓名：__________________，职 务：__________________</w:t>
      </w:r>
    </w:p>
    <w:p>
      <w:pPr>
        <w:ind w:firstLine="480"/>
      </w:pPr>
    </w:p>
    <w:p>
      <w:pPr>
        <w:ind w:firstLine="480"/>
      </w:pPr>
    </w:p>
    <w:p>
      <w:pPr>
        <w:ind w:firstLine="480"/>
      </w:pPr>
    </w:p>
    <w:p>
      <w:pPr>
        <w:ind w:firstLine="480"/>
      </w:pPr>
    </w:p>
    <w:p>
      <w:pPr>
        <w:jc w:val="right"/>
      </w:pPr>
      <w:r>
        <w:rPr/>
        <w:t>法定代表人或授权委托人（签字）：__________________</w:t>
      </w:r>
    </w:p>
    <w:p>
      <w:pPr>
        <w:jc w:val="right"/>
      </w:pPr>
      <w:r>
        <w:rPr/>
        <w:t>加盖公章：__________________</w:t>
      </w:r>
    </w:p>
    <w:p>
      <w:pPr>
        <w:jc w:val="right"/>
      </w:pPr>
      <w:r>
        <w:rPr/>
        <w:t xml:space="preserve"> 日  期：__________________</w:t>
      </w:r>
    </w:p>
    <w:p>
      <w:pPr>
        <w:ind w:firstLine="480"/>
      </w:pPr>
    </w:p>
    <w:p>
      <w:r>
        <w:rPr/>
        <w:t xml:space="preserve"> </w:t>
      </w:r>
    </w:p>
    <w:p/>
    <w:p>
      <w:r>
        <w:rPr>
          <w:b/>
          <w:sz w:val="28"/>
        </w:rPr>
        <w:t>格式二：</w:t>
      </w:r>
    </w:p>
    <w:p>
      <w:pPr>
        <w:jc w:val="center"/>
      </w:pPr>
      <w:r>
        <w:rPr>
          <w:b/>
          <w:sz w:val="24"/>
        </w:rPr>
        <w:t>首轮报价表</w:t>
      </w:r>
    </w:p>
    <w:p>
      <w:pPr>
        <w:ind w:firstLine="480"/>
      </w:pPr>
      <w:r>
        <w:rPr/>
        <w:t>注:采用电子响应的项目无需编制该表格，响应供应商应在投标客户端【报价部分】进行填写，投标客户端软件将自动根据供应商填写信息在线生成首轮报价表﹐若在响应文件中出现非系统生成的首轮报价表﹐且与投标客户端生成的首轮报价表信息内容不一致，以投标客户端在线填写报价并生成的内容为准。（下列表样仅供参考）</w:t>
      </w:r>
      <w:r>
        <w:br/>
      </w:r>
    </w:p>
    <w:p>
      <w:pPr>
        <w:ind w:firstLine="480"/>
      </w:pPr>
      <w:r>
        <w:rPr/>
        <w:t>采购项目编号：</w:t>
      </w:r>
    </w:p>
    <w:p>
      <w:pPr>
        <w:ind w:firstLine="480"/>
      </w:pPr>
      <w:r>
        <w:rPr/>
        <w:t>项目名称：</w:t>
      </w:r>
    </w:p>
    <w:p>
      <w:pPr>
        <w:ind w:firstLine="480"/>
      </w:pPr>
      <w:r>
        <w:rPr/>
        <w:t>响应供应商名称：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r>
              <w:rPr/>
              <w:t>序号</w:t>
            </w:r>
          </w:p>
        </w:tc>
        <w:tc>
          <w:tcPr>
            <w:tcW w:type="dxa" w:w="1661"/>
          </w:tcPr>
          <w:p>
            <w:r>
              <w:rPr/>
              <w:t>采购项目名称/采购包名称</w:t>
            </w:r>
          </w:p>
        </w:tc>
        <w:tc>
          <w:tcPr>
            <w:tcW w:type="dxa" w:w="1661"/>
          </w:tcPr>
          <w:p>
            <w:r>
              <w:rPr/>
              <w:t>响应报价（元/%）</w:t>
            </w:r>
          </w:p>
        </w:tc>
        <w:tc>
          <w:tcPr>
            <w:tcW w:type="dxa" w:w="1661"/>
          </w:tcPr>
          <w:p>
            <w:r>
              <w:rPr/>
              <w:t>交货或服务期</w:t>
            </w:r>
          </w:p>
        </w:tc>
        <w:tc>
          <w:tcPr>
            <w:tcW w:type="dxa" w:w="1661"/>
          </w:tcPr>
          <w:p>
            <w:r>
              <w:rPr/>
              <w:t>交货或服务地点</w:t>
            </w:r>
          </w:p>
        </w:tc>
      </w:tr>
      <w:tr>
        <w:tc>
          <w:tcPr>
            <w:tcW w:type="dxa" w:w="1661"/>
          </w:tcPr>
          <w:p>
            <w:pPr>
              <w:jc w:val="center"/>
            </w:pPr>
            <w:r>
              <w:rPr/>
              <w:t>1</w:t>
            </w:r>
          </w:p>
        </w:tc>
        <w:tc>
          <w:tcPr>
            <w:tcW w:type="dxa" w:w="1661"/>
          </w:tcPr>
          <w:p/>
        </w:tc>
        <w:tc>
          <w:tcPr>
            <w:tcW w:type="dxa" w:w="1661"/>
          </w:tcPr>
          <w:p/>
        </w:tc>
        <w:tc>
          <w:tcPr>
            <w:tcW w:type="dxa" w:w="1661"/>
          </w:tcPr>
          <w:p/>
        </w:tc>
        <w:tc>
          <w:tcPr>
            <w:tcW w:type="dxa" w:w="1661"/>
          </w:tcPr>
          <w:p/>
        </w:tc>
      </w:tr>
    </w:tbl>
    <w:p>
      <w:pPr>
        <w:jc w:val="right"/>
      </w:pPr>
      <w:r>
        <w:rPr/>
        <w:t>供应商签章：__________________</w:t>
      </w:r>
    </w:p>
    <w:p>
      <w:pPr>
        <w:jc w:val="right"/>
      </w:pPr>
      <w:r>
        <w:rPr/>
        <w:t>日期： 年 月 日</w:t>
      </w:r>
    </w:p>
    <w:p>
      <w:pPr>
        <w:ind w:firstLine="480"/>
      </w:pPr>
    </w:p>
    <w:p>
      <w:r>
        <w:rPr/>
        <w:t xml:space="preserve"> </w:t>
      </w:r>
    </w:p>
    <w:p/>
    <w:p>
      <w:r>
        <w:rPr>
          <w:b/>
          <w:sz w:val="28"/>
        </w:rPr>
        <w:t>格式三：</w:t>
      </w:r>
    </w:p>
    <w:p>
      <w:pPr>
        <w:jc w:val="center"/>
      </w:pPr>
      <w:r>
        <w:rPr>
          <w:b/>
          <w:sz w:val="24"/>
        </w:rPr>
        <w:t>分项报价表</w:t>
      </w:r>
    </w:p>
    <w:p>
      <w:pPr>
        <w:ind w:firstLine="480"/>
      </w:pPr>
      <w:r>
        <w:rPr/>
        <w:t>注:采用电子响应的项目无需编制该表格，响应供应商应在投标客户端【报价部分】进行填写，投标客户端软件将自动根据供应商填写信息在线生成分项报价表，若在响应文件中出现非系统生成的分项报价表，且与投标客户端生成的分项报价表信息内容不一致，以投标客户端在线填写报价并生成的内容为准。（下列表样仅供参考）</w:t>
      </w:r>
      <w:r>
        <w:br/>
      </w:r>
    </w:p>
    <w:p>
      <w:pPr>
        <w:ind w:firstLine="480"/>
      </w:pPr>
      <w:r>
        <w:rPr/>
        <w:t>采购项目编号：</w:t>
      </w:r>
    </w:p>
    <w:p>
      <w:pPr>
        <w:ind w:firstLine="480"/>
      </w:pPr>
      <w:r>
        <w:rPr/>
        <w:t>项目名称：</w:t>
      </w:r>
    </w:p>
    <w:p>
      <w:pPr>
        <w:ind w:firstLine="480"/>
      </w:pPr>
      <w:r>
        <w:rPr/>
        <w:t>响应供应商名称：</w:t>
      </w:r>
    </w:p>
    <w:p>
      <w:pPr>
        <w:ind w:firstLine="480"/>
      </w:pPr>
      <w:r>
        <w:rPr/>
        <w:t>采购包：</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r>
              <w:rPr/>
              <w:t>品目号</w:t>
            </w:r>
          </w:p>
        </w:tc>
        <w:tc>
          <w:tcPr>
            <w:tcW w:type="dxa" w:w="831"/>
          </w:tcPr>
          <w:p>
            <w:r>
              <w:rPr/>
              <w:t>序号</w:t>
            </w:r>
          </w:p>
        </w:tc>
        <w:tc>
          <w:tcPr>
            <w:tcW w:type="dxa" w:w="831"/>
          </w:tcPr>
          <w:p>
            <w:r>
              <w:rPr/>
              <w:t>货物名称</w:t>
            </w:r>
          </w:p>
        </w:tc>
        <w:tc>
          <w:tcPr>
            <w:tcW w:type="dxa" w:w="831"/>
          </w:tcPr>
          <w:p>
            <w:r>
              <w:rPr/>
              <w:t>规格型号</w:t>
            </w:r>
          </w:p>
        </w:tc>
        <w:tc>
          <w:tcPr>
            <w:tcW w:type="dxa" w:w="831"/>
          </w:tcPr>
          <w:p>
            <w:r>
              <w:rPr/>
              <w:t>品牌</w:t>
            </w:r>
          </w:p>
        </w:tc>
        <w:tc>
          <w:tcPr>
            <w:tcW w:type="dxa" w:w="831"/>
          </w:tcPr>
          <w:p>
            <w:r>
              <w:rPr/>
              <w:t>产地</w:t>
            </w:r>
          </w:p>
        </w:tc>
        <w:tc>
          <w:tcPr>
            <w:tcW w:type="dxa" w:w="831"/>
          </w:tcPr>
          <w:p>
            <w:r>
              <w:rPr/>
              <w:t>制造商名称</w:t>
            </w:r>
          </w:p>
        </w:tc>
        <w:tc>
          <w:tcPr>
            <w:tcW w:type="dxa" w:w="831"/>
          </w:tcPr>
          <w:p>
            <w:r>
              <w:rPr/>
              <w:t>单价</w:t>
            </w:r>
          </w:p>
        </w:tc>
        <w:tc>
          <w:tcPr>
            <w:tcW w:type="dxa" w:w="831"/>
          </w:tcPr>
          <w:p>
            <w:r>
              <w:rPr/>
              <w:t>数量</w:t>
            </w:r>
          </w:p>
        </w:tc>
        <w:tc>
          <w:tcPr>
            <w:tcW w:type="dxa" w:w="831"/>
          </w:tcPr>
          <w:p>
            <w:r>
              <w:rPr/>
              <w:t>总价</w:t>
            </w:r>
          </w:p>
        </w:tc>
      </w:tr>
      <w:tr>
        <w:tc>
          <w:tcPr>
            <w:tcW w:type="dxa" w:w="831"/>
          </w:tcPr>
          <w:p>
            <w:pPr>
              <w:jc w:val="center"/>
            </w:pPr>
            <w:r>
              <w:rPr/>
              <w:t>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r>
              <w:rPr/>
              <w:t>品目号</w:t>
            </w:r>
          </w:p>
        </w:tc>
        <w:tc>
          <w:tcPr>
            <w:tcW w:type="dxa" w:w="831"/>
          </w:tcPr>
          <w:p>
            <w:r>
              <w:rPr/>
              <w:t>序号</w:t>
            </w:r>
          </w:p>
        </w:tc>
        <w:tc>
          <w:tcPr>
            <w:tcW w:type="dxa" w:w="831"/>
          </w:tcPr>
          <w:p>
            <w:r>
              <w:rPr/>
              <w:t>服务名称</w:t>
            </w:r>
          </w:p>
        </w:tc>
        <w:tc>
          <w:tcPr>
            <w:tcW w:type="dxa" w:w="831"/>
          </w:tcPr>
          <w:p>
            <w:r>
              <w:rPr/>
              <w:t>服务范围</w:t>
            </w:r>
          </w:p>
        </w:tc>
        <w:tc>
          <w:tcPr>
            <w:tcW w:type="dxa" w:w="831"/>
          </w:tcPr>
          <w:p>
            <w:r>
              <w:rPr/>
              <w:t>服务要求</w:t>
            </w:r>
          </w:p>
        </w:tc>
        <w:tc>
          <w:tcPr>
            <w:tcW w:type="dxa" w:w="831"/>
          </w:tcPr>
          <w:p>
            <w:r>
              <w:rPr/>
              <w:t>服务期限</w:t>
            </w:r>
          </w:p>
        </w:tc>
        <w:tc>
          <w:tcPr>
            <w:tcW w:type="dxa" w:w="831"/>
          </w:tcPr>
          <w:p>
            <w:r>
              <w:rPr/>
              <w:t>服务标准</w:t>
            </w:r>
          </w:p>
        </w:tc>
        <w:tc>
          <w:tcPr>
            <w:tcW w:type="dxa" w:w="831"/>
          </w:tcPr>
          <w:p>
            <w:r>
              <w:rPr/>
              <w:t>单价</w:t>
            </w:r>
          </w:p>
        </w:tc>
        <w:tc>
          <w:tcPr>
            <w:tcW w:type="dxa" w:w="831"/>
          </w:tcPr>
          <w:p>
            <w:r>
              <w:rPr/>
              <w:t>数量</w:t>
            </w:r>
          </w:p>
        </w:tc>
        <w:tc>
          <w:tcPr>
            <w:tcW w:type="dxa" w:w="831"/>
          </w:tcPr>
          <w:p>
            <w:r>
              <w:rPr/>
              <w:t>总价</w:t>
            </w:r>
          </w:p>
        </w:tc>
      </w:tr>
      <w:tr>
        <w:tc>
          <w:tcPr>
            <w:tcW w:type="dxa" w:w="831"/>
          </w:tcPr>
          <w:p>
            <w:pPr>
              <w:jc w:val="center"/>
            </w:pPr>
            <w:r>
              <w:rPr/>
              <w:t>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jc w:val="right"/>
      </w:pPr>
      <w:r>
        <w:rPr/>
        <w:t>供应商签章：__________________</w:t>
      </w:r>
    </w:p>
    <w:p>
      <w:pPr>
        <w:jc w:val="right"/>
      </w:pPr>
      <w:r>
        <w:rPr/>
        <w:t>日期： 年 月 日</w:t>
      </w:r>
    </w:p>
    <w:p>
      <w:pPr>
        <w:ind w:firstLine="480"/>
      </w:pPr>
    </w:p>
    <w:p>
      <w:r>
        <w:rPr/>
        <w:t xml:space="preserve"> </w:t>
      </w:r>
    </w:p>
    <w:p/>
    <w:p>
      <w:r>
        <w:rPr>
          <w:b/>
          <w:sz w:val="28"/>
        </w:rPr>
        <w:t>格式四：</w:t>
      </w:r>
    </w:p>
    <w:p>
      <w:pPr>
        <w:jc w:val="center"/>
      </w:pPr>
      <w:r>
        <w:rPr>
          <w:b/>
          <w:sz w:val="24"/>
        </w:rPr>
        <w:t>政策适用性说明</w:t>
      </w:r>
    </w:p>
    <w:p>
      <w:pPr>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r>
              <w:rPr/>
              <w:t>序号</w:t>
            </w:r>
          </w:p>
        </w:tc>
        <w:tc>
          <w:tcPr>
            <w:tcW w:type="dxa" w:w="1038"/>
          </w:tcPr>
          <w:p>
            <w:r>
              <w:rPr/>
              <w:t>主要产品/技术名称（规格型号、注册商标）</w:t>
            </w:r>
          </w:p>
        </w:tc>
        <w:tc>
          <w:tcPr>
            <w:tcW w:type="dxa" w:w="1038"/>
          </w:tcPr>
          <w:p>
            <w:r>
              <w:rPr/>
              <w:t>制造商(开发商)</w:t>
            </w:r>
          </w:p>
        </w:tc>
        <w:tc>
          <w:tcPr>
            <w:tcW w:type="dxa" w:w="1038"/>
          </w:tcPr>
          <w:p>
            <w:r>
              <w:rPr/>
              <w:t>制造商企业类型</w:t>
            </w:r>
          </w:p>
        </w:tc>
        <w:tc>
          <w:tcPr>
            <w:tcW w:type="dxa" w:w="1038"/>
          </w:tcPr>
          <w:p>
            <w:r>
              <w:rPr/>
              <w:t>节能产品</w:t>
            </w:r>
          </w:p>
        </w:tc>
        <w:tc>
          <w:tcPr>
            <w:tcW w:type="dxa" w:w="1038"/>
          </w:tcPr>
          <w:p>
            <w:r>
              <w:rPr/>
              <w:t>环境标志产品</w:t>
            </w:r>
          </w:p>
        </w:tc>
        <w:tc>
          <w:tcPr>
            <w:tcW w:type="dxa" w:w="1038"/>
          </w:tcPr>
          <w:p>
            <w:r>
              <w:rPr/>
              <w:t>认证证书编号</w:t>
            </w:r>
          </w:p>
        </w:tc>
        <w:tc>
          <w:tcPr>
            <w:tcW w:type="dxa" w:w="1038"/>
          </w:tcPr>
          <w:p>
            <w:r>
              <w:rPr/>
              <w:t>该产品报价在总报价中占比（%）</w:t>
            </w:r>
          </w:p>
        </w:tc>
      </w:tr>
      <w:tr>
        <w:tc>
          <w:tcPr>
            <w:tcW w:type="dxa" w:w="1038"/>
          </w:tcPr>
          <w:p>
            <w:pPr>
              <w:jc w:val="center"/>
            </w:pPr>
            <w:r>
              <w:rPr/>
              <w:t>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jc w:val="center"/>
            </w:pPr>
            <w:r>
              <w:rPr/>
              <w:t>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jc w:val="center"/>
            </w:pPr>
            <w:r>
              <w:rPr/>
              <w:t>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jc w:val="center"/>
            </w:pPr>
            <w:r>
              <w:rPr/>
              <w:t>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jc w:val="center"/>
            </w:pPr>
            <w:r>
              <w:rPr/>
              <w:t>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r>
              <w:rPr/>
              <w:t>...</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ind w:firstLine="480"/>
      </w:pPr>
      <w:r>
        <w:rPr/>
        <w:t>注：</w:t>
      </w:r>
    </w:p>
    <w:p>
      <w:pPr>
        <w:ind w:firstLine="480"/>
      </w:pPr>
      <w:r>
        <w:rPr/>
        <w:t>1.制造商为小型或微型企业时才需要填“制造商企业类型”栏,填写内容为“小型”或“微型”；</w:t>
      </w:r>
    </w:p>
    <w:p>
      <w:pPr>
        <w:ind w:firstLine="480"/>
      </w:pPr>
      <w:r>
        <w:rPr/>
        <w:t>2.“节能产品、环境标志产品”须填写认证证书编号，并在对应“节能产品”、“环境标志产品”栏中勾选，同时提供有效期内的证书复印件（加盖供应商公章）</w:t>
      </w:r>
    </w:p>
    <w:p>
      <w:pPr>
        <w:jc w:val="right"/>
      </w:pPr>
      <w:r>
        <w:rPr/>
        <w:t xml:space="preserve"> 供应商名称（盖章）：__________________</w:t>
      </w:r>
    </w:p>
    <w:p>
      <w:pPr>
        <w:jc w:val="right"/>
      </w:pPr>
      <w:r>
        <w:rPr/>
        <w:t xml:space="preserve"> 日  期：__________________</w:t>
      </w:r>
    </w:p>
    <w:p>
      <w:pPr>
        <w:ind w:firstLine="480"/>
      </w:pPr>
    </w:p>
    <w:p>
      <w:r>
        <w:rPr/>
        <w:t xml:space="preserve"> </w:t>
      </w:r>
    </w:p>
    <w:p/>
    <w:p>
      <w:r>
        <w:rPr>
          <w:b/>
          <w:sz w:val="28"/>
        </w:rPr>
        <w:t>格式五：</w:t>
      </w:r>
    </w:p>
    <w:p>
      <w:pPr>
        <w:ind w:firstLine="480"/>
      </w:pPr>
      <w:r>
        <w:rPr/>
        <w:t>（供应商可使用下述格式，也可使用广东省工商行政管理局统一印制的法定代表人证明书格式）</w:t>
      </w:r>
    </w:p>
    <w:p>
      <w:pPr>
        <w:jc w:val="center"/>
      </w:pPr>
      <w:r>
        <w:rPr>
          <w:b/>
          <w:sz w:val="24"/>
        </w:rPr>
        <w:t>法定代表人证明书</w:t>
      </w:r>
    </w:p>
    <w:p>
      <w:pPr>
        <w:ind w:firstLine="480"/>
      </w:pPr>
      <w:r>
        <w:rPr/>
        <w:t>_____________现任我单位_____________职务，为法定代表人，特此证明。</w:t>
      </w:r>
    </w:p>
    <w:p>
      <w:pPr>
        <w:ind w:firstLine="480"/>
      </w:pPr>
      <w:r>
        <w:rPr/>
        <w:t>有效期限：__________________</w:t>
      </w:r>
    </w:p>
    <w:p>
      <w:pPr>
        <w:ind w:firstLine="480"/>
      </w:pPr>
      <w:r>
        <w:rPr/>
        <w:t>附：代表人性别：_____年龄：_________ 身份证号码：__________________</w:t>
      </w:r>
    </w:p>
    <w:p>
      <w:pPr>
        <w:ind w:firstLine="480"/>
      </w:pPr>
      <w:r>
        <w:rPr/>
        <w:t>注册号码：____________________企业类型：____________________________</w:t>
      </w:r>
    </w:p>
    <w:p>
      <w:pPr>
        <w:ind w:firstLine="480"/>
      </w:pPr>
      <w:r>
        <w:rPr/>
        <w:t>经营范围：__________________________________________________________</w:t>
      </w:r>
    </w:p>
    <w:p>
      <w:pPr>
        <w:ind w:firstLine="480"/>
      </w:pPr>
    </w:p>
    <w:p>
      <w:pPr>
        <w:ind w:firstLine="480"/>
      </w:pPr>
    </w:p>
    <w:p>
      <w:pPr>
        <w:jc w:val="right"/>
      </w:pPr>
      <w:r>
        <w:rPr/>
        <w:t xml:space="preserve"> 供应商名称（盖章）：__________________</w:t>
      </w:r>
    </w:p>
    <w:p>
      <w:pPr>
        <w:jc w:val="right"/>
      </w:pPr>
      <w:r>
        <w:rPr/>
        <w:t xml:space="preserve"> 地  址：__________________</w:t>
      </w:r>
    </w:p>
    <w:p>
      <w:pPr>
        <w:jc w:val="right"/>
      </w:pPr>
      <w:r>
        <w:rPr/>
        <w:t xml:space="preserve"> 法定代表人（签字或盖章）：__________________</w:t>
      </w:r>
    </w:p>
    <w:p>
      <w:pPr>
        <w:jc w:val="right"/>
      </w:pPr>
      <w:r>
        <w:rPr/>
        <w:t xml:space="preserve"> 职  务：__________________</w:t>
      </w:r>
    </w:p>
    <w:p>
      <w:pPr>
        <w:jc w:val="right"/>
      </w:pPr>
      <w:r>
        <w:rPr/>
        <w:t xml:space="preserve"> 日  期：__________________</w:t>
      </w:r>
    </w:p>
    <w:p>
      <w:pPr>
        <w:ind w:firstLine="480"/>
      </w:pPr>
    </w:p>
    <w:p>
      <w:r>
        <w:rPr/>
        <w:t xml:space="preserve"> </w:t>
      </w:r>
    </w:p>
    <w:p/>
    <w:p>
      <w:r>
        <w:rPr>
          <w:b/>
          <w:sz w:val="28"/>
        </w:rPr>
        <w:t>格式六：</w:t>
      </w:r>
    </w:p>
    <w:p>
      <w:pPr>
        <w:jc w:val="center"/>
      </w:pPr>
      <w:r>
        <w:rPr>
          <w:b/>
          <w:sz w:val="24"/>
        </w:rPr>
        <w:t>法定代表人授权书格式</w:t>
      </w:r>
    </w:p>
    <w:p>
      <w:pPr>
        <w:ind w:firstLine="480"/>
      </w:pPr>
      <w:r>
        <w:rPr/>
        <w:t>（对于银行、保险、电信、邮政、铁路等行业以及获得总公司响应授权的分公司，可以提供响应分支机构负责人授权书）</w:t>
      </w:r>
    </w:p>
    <w:p>
      <w:pPr>
        <w:jc w:val="center"/>
      </w:pPr>
      <w:r>
        <w:rPr>
          <w:b/>
          <w:sz w:val="24"/>
        </w:rPr>
        <w:t>法定代表人授权书</w:t>
      </w:r>
    </w:p>
    <w:p>
      <w:pPr>
        <w:ind w:firstLine="480"/>
      </w:pPr>
      <w:r>
        <w:rPr/>
        <w:t>致：</w:t>
      </w:r>
      <w:r>
        <w:rPr/>
        <w:t>云浮市国御招标代理有限公司</w:t>
      </w:r>
    </w:p>
    <w:p>
      <w:pPr>
        <w:ind w:firstLine="480"/>
      </w:pPr>
      <w:r>
        <w:rPr/>
        <w:t>本授权书声明：________是注册于</w:t>
      </w:r>
      <w:r>
        <w:rPr>
          <w:u w:val="single"/>
        </w:rPr>
        <w:t>（国家或地区）</w:t>
      </w:r>
      <w:r>
        <w:rPr/>
        <w:t>的</w:t>
      </w:r>
      <w:r>
        <w:rPr>
          <w:u w:val="single"/>
        </w:rPr>
        <w:t>（供应商名称）</w:t>
      </w:r>
      <w:r>
        <w:rPr/>
        <w:t>的法定代表人，现任________职务，有效证件号码：________________。现授权</w:t>
      </w:r>
      <w:r>
        <w:rPr>
          <w:u w:val="single"/>
        </w:rPr>
        <w:t>（姓名、职务）</w:t>
      </w:r>
      <w:r>
        <w:rPr/>
        <w:t>作为我公司的全权代理人，就“</w:t>
      </w:r>
      <w:r>
        <w:rPr/>
        <w:t>云浮市云安区档案馆配套库房（简易库房）建设采购项目</w:t>
      </w:r>
      <w:r>
        <w:rPr/>
        <w:t>”项目采购[采购项目编号为</w:t>
      </w:r>
      <w:r>
        <w:rPr/>
        <w:t>445303-2023-00574</w:t>
      </w:r>
      <w:r>
        <w:rPr/>
        <w:t>]的响应和合同执行，以我方的名义处理一切与之有关的事宜。</w:t>
      </w:r>
    </w:p>
    <w:p>
      <w:pPr>
        <w:ind w:firstLine="480"/>
      </w:pPr>
      <w:r>
        <w:rPr/>
        <w:t>本授权书于________年________月________日签字生效，特此声明。</w:t>
      </w:r>
    </w:p>
    <w:p>
      <w:pPr>
        <w:jc w:val="right"/>
      </w:pPr>
      <w:r>
        <w:rPr/>
        <w:t xml:space="preserve"> 供应商（盖章）：__________________</w:t>
      </w:r>
    </w:p>
    <w:p>
      <w:pPr>
        <w:jc w:val="right"/>
      </w:pPr>
      <w:r>
        <w:rPr/>
        <w:t xml:space="preserve"> 地  址：__________________</w:t>
      </w:r>
    </w:p>
    <w:p>
      <w:pPr>
        <w:jc w:val="right"/>
      </w:pPr>
      <w:r>
        <w:rPr/>
        <w:t xml:space="preserve"> 法定代表人（签字或盖章）：__________________</w:t>
      </w:r>
    </w:p>
    <w:p>
      <w:pPr>
        <w:jc w:val="right"/>
      </w:pPr>
      <w:r>
        <w:rPr/>
        <w:t xml:space="preserve"> 职  务：__________________</w:t>
      </w:r>
    </w:p>
    <w:p>
      <w:pPr>
        <w:jc w:val="right"/>
      </w:pPr>
      <w:r>
        <w:rPr/>
        <w:t xml:space="preserve"> 被授权人（签字或盖章）：__________________</w:t>
      </w:r>
    </w:p>
    <w:p>
      <w:pPr>
        <w:jc w:val="right"/>
      </w:pPr>
      <w:r>
        <w:rPr/>
        <w:t xml:space="preserve"> 职  务：__________________</w:t>
      </w:r>
    </w:p>
    <w:p>
      <w:pPr>
        <w:jc w:val="right"/>
      </w:pPr>
      <w:r>
        <w:rPr/>
        <w:t xml:space="preserve"> 日  期：__________________</w:t>
      </w:r>
    </w:p>
    <w:p>
      <w:pPr>
        <w:ind w:firstLine="480"/>
      </w:pPr>
    </w:p>
    <w:p>
      <w:r>
        <w:rPr/>
        <w:t xml:space="preserve"> </w:t>
      </w:r>
    </w:p>
    <w:p/>
    <w:p>
      <w:r>
        <w:rPr>
          <w:b/>
          <w:sz w:val="28"/>
        </w:rPr>
        <w:t>格式七：</w:t>
      </w:r>
    </w:p>
    <w:p>
      <w:pPr>
        <w:jc w:val="center"/>
      </w:pPr>
      <w:r>
        <w:rPr>
          <w:b/>
          <w:sz w:val="24"/>
        </w:rPr>
        <w:t>响应保证金</w:t>
      </w:r>
    </w:p>
    <w:p>
      <w:pPr>
        <w:ind w:firstLine="480"/>
      </w:pPr>
      <w:r>
        <w:rPr/>
        <w:t>响应文件要求递交响应保证金的，供应商应在此提供保证金的凭证的复印件。</w:t>
      </w:r>
    </w:p>
    <w:p>
      <w:pPr>
        <w:ind w:firstLine="480"/>
      </w:pPr>
    </w:p>
    <w:p>
      <w:r>
        <w:rPr/>
        <w:t xml:space="preserve"> </w:t>
      </w:r>
    </w:p>
    <w:p/>
    <w:p>
      <w:r>
        <w:rPr>
          <w:b/>
          <w:sz w:val="28"/>
        </w:rPr>
        <w:t>格式八：</w:t>
      </w:r>
    </w:p>
    <w:p>
      <w:pPr>
        <w:jc w:val="center"/>
      </w:pPr>
      <w:r>
        <w:rPr>
          <w:b/>
          <w:sz w:val="24"/>
        </w:rPr>
        <w:t>提供具有独立承担民事责任的能力的证明材料</w:t>
      </w:r>
    </w:p>
    <w:p>
      <w:pPr>
        <w:ind w:firstLine="480"/>
      </w:pPr>
    </w:p>
    <w:p>
      <w:r>
        <w:rPr/>
        <w:t xml:space="preserve"> </w:t>
      </w:r>
    </w:p>
    <w:p/>
    <w:p>
      <w:r>
        <w:rPr>
          <w:b/>
          <w:sz w:val="28"/>
        </w:rPr>
        <w:t>格式九：</w:t>
      </w:r>
    </w:p>
    <w:p>
      <w:pPr>
        <w:jc w:val="center"/>
      </w:pPr>
      <w:r>
        <w:rPr>
          <w:b/>
          <w:sz w:val="24"/>
        </w:rPr>
        <w:t>资格性审查要求的其他资质证明文件</w:t>
      </w:r>
    </w:p>
    <w:p>
      <w:pPr>
        <w:ind w:firstLine="480"/>
      </w:pPr>
      <w:r>
        <w:rPr/>
        <w:t>具有履行合同所必需的设备和专业技术能力</w:t>
      </w:r>
    </w:p>
    <w:p>
      <w:r>
        <w:rPr/>
        <w:t xml:space="preserve"> </w:t>
      </w:r>
    </w:p>
    <w:p/>
    <w:p>
      <w:r>
        <w:rPr>
          <w:b/>
          <w:sz w:val="28"/>
        </w:rPr>
        <w:t>格式十：</w:t>
      </w:r>
    </w:p>
    <w:p>
      <w:pPr>
        <w:ind w:firstLine="480"/>
      </w:pPr>
      <w:r>
        <w:rPr/>
        <w:t>（对于采购需求写明“提供承诺”的条款，供应商可参照以下格式提供承诺）</w:t>
      </w:r>
    </w:p>
    <w:p>
      <w:pPr>
        <w:jc w:val="center"/>
      </w:pPr>
      <w:r>
        <w:rPr>
          <w:b/>
          <w:sz w:val="24"/>
        </w:rPr>
        <w:t>承诺函</w:t>
      </w:r>
    </w:p>
    <w:p>
      <w:pPr>
        <w:ind w:firstLine="480"/>
      </w:pPr>
      <w:r>
        <w:rPr/>
        <w:t>致：</w:t>
      </w:r>
      <w:r>
        <w:rPr/>
        <w:t>云浮市云安区档案馆</w:t>
      </w:r>
      <w:r>
        <w:br/>
      </w:r>
    </w:p>
    <w:p>
      <w:pPr>
        <w:ind w:firstLine="480"/>
      </w:pPr>
      <w:r>
        <w:rPr/>
        <w:t>对于__________________项目（项目编号：__________________），我方郑重承诺如下：</w:t>
      </w:r>
    </w:p>
    <w:p>
      <w:pPr>
        <w:ind w:firstLine="480"/>
      </w:pPr>
      <w:r>
        <w:rPr/>
        <w:t>如中标/成交，我方承诺严格落实采购文件以下条款：(建议逐条复制采购文件相关条款原文)</w:t>
      </w:r>
    </w:p>
    <w:p>
      <w:pPr>
        <w:ind w:firstLine="480"/>
      </w:pPr>
      <w:r>
        <w:rPr/>
        <w:t>（一）星号条款</w:t>
      </w:r>
    </w:p>
    <w:p>
      <w:pPr>
        <w:ind w:firstLine="480"/>
      </w:pPr>
      <w:r>
        <w:rPr/>
        <w:t>1.</w:t>
      </w:r>
    </w:p>
    <w:p>
      <w:pPr>
        <w:ind w:firstLine="480"/>
      </w:pPr>
      <w:r>
        <w:rPr/>
        <w:t>2.</w:t>
      </w:r>
    </w:p>
    <w:p>
      <w:pPr>
        <w:ind w:firstLine="480"/>
      </w:pPr>
      <w:r>
        <w:rPr/>
        <w:t>3.</w:t>
      </w:r>
    </w:p>
    <w:p>
      <w:pPr>
        <w:ind w:firstLine="480"/>
      </w:pPr>
      <w:r>
        <w:rPr/>
        <w:t>.........</w:t>
      </w:r>
    </w:p>
    <w:p>
      <w:pPr>
        <w:ind w:firstLine="480"/>
      </w:pPr>
      <w:r>
        <w:rPr/>
        <w:t>（二）三角号条款</w:t>
      </w:r>
    </w:p>
    <w:p>
      <w:pPr>
        <w:ind w:firstLine="480"/>
      </w:pPr>
      <w:r>
        <w:rPr/>
        <w:t>1.</w:t>
      </w:r>
    </w:p>
    <w:p>
      <w:pPr>
        <w:ind w:firstLine="480"/>
      </w:pPr>
      <w:r>
        <w:rPr/>
        <w:t>2.</w:t>
      </w:r>
    </w:p>
    <w:p>
      <w:pPr>
        <w:ind w:firstLine="480"/>
      </w:pPr>
      <w:r>
        <w:rPr/>
        <w:t>3.</w:t>
      </w:r>
    </w:p>
    <w:p>
      <w:pPr>
        <w:ind w:firstLine="480"/>
      </w:pPr>
      <w:r>
        <w:rPr/>
        <w:t>.........</w:t>
      </w:r>
    </w:p>
    <w:p>
      <w:pPr>
        <w:ind w:firstLine="480"/>
      </w:pPr>
      <w:r>
        <w:rPr/>
        <w:t>（三）非星号、非三角号条款</w:t>
      </w:r>
    </w:p>
    <w:p>
      <w:pPr>
        <w:ind w:firstLine="480"/>
      </w:pPr>
      <w:r>
        <w:rPr/>
        <w:t>1.</w:t>
      </w:r>
    </w:p>
    <w:p>
      <w:pPr>
        <w:ind w:firstLine="480"/>
      </w:pPr>
      <w:r>
        <w:rPr/>
        <w:t>2.</w:t>
      </w:r>
    </w:p>
    <w:p>
      <w:pPr>
        <w:ind w:firstLine="480"/>
      </w:pPr>
      <w:r>
        <w:rPr/>
        <w:t>3.</w:t>
      </w:r>
    </w:p>
    <w:p>
      <w:pPr>
        <w:ind w:firstLine="480"/>
      </w:pPr>
      <w:r>
        <w:rPr/>
        <w:t>.........</w:t>
      </w:r>
      <w:r>
        <w:br/>
      </w:r>
    </w:p>
    <w:p>
      <w:pPr>
        <w:ind w:firstLine="480"/>
      </w:pPr>
      <w:r>
        <w:rPr/>
        <w:t>特此承诺。</w:t>
      </w:r>
    </w:p>
    <w:p>
      <w:r>
        <w:rPr/>
        <w:t xml:space="preserve"> 供应商名称（盖章）：__________________</w:t>
      </w:r>
    </w:p>
    <w:p>
      <w:r>
        <w:rPr/>
        <w:t>日期： 年 月 日</w:t>
      </w:r>
    </w:p>
    <w:p>
      <w:pPr>
        <w:ind w:firstLine="480"/>
      </w:pPr>
    </w:p>
    <w:p>
      <w:r>
        <w:rPr/>
        <w:t xml:space="preserve"> </w:t>
      </w:r>
    </w:p>
    <w:p/>
    <w:p>
      <w:r>
        <w:rPr>
          <w:b/>
          <w:sz w:val="28"/>
        </w:rPr>
        <w:t>格式十一：</w:t>
      </w:r>
    </w:p>
    <w:p>
      <w:pPr>
        <w:ind w:firstLine="480"/>
      </w:pPr>
      <w:r>
        <w:rPr/>
        <w:t>（以下格式文件由供应商根据需要选用）</w:t>
      </w:r>
    </w:p>
    <w:p>
      <w:pPr>
        <w:ind w:firstLine="480"/>
      </w:pPr>
      <w:r>
        <w:rPr/>
        <w:t>中小企业声明函（所投产品制造商为中小企业时提交本函，所属行业应符合磋商文件中明确的本项目所属行业）</w:t>
      </w:r>
    </w:p>
    <w:p>
      <w:pPr>
        <w:jc w:val="center"/>
      </w:pPr>
      <w:r>
        <w:rPr>
          <w:b/>
          <w:sz w:val="24"/>
        </w:rPr>
        <w:t>中小企业声明函（货物）</w:t>
      </w:r>
    </w:p>
    <w:p>
      <w:pPr>
        <w:ind w:firstLine="480"/>
      </w:pPr>
      <w:r>
        <w:rPr/>
        <w:t>本公司（联合体）郑重声明，根据《政府采购促进中小企业发展管理办法》（财库﹝2020﹞46</w:t>
        <w:tab/>
        <w:tab/>
        <w:t xml:space="preserve">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ind w:firstLine="480"/>
      </w:pPr>
      <w:r>
        <w:rPr/>
        <w:t>1.（标的名称），属于（磋商文件中明确的所属行业）行业；制造商为（企业名称），从业人员__________________人，营业收入为__________________万元，资产总额为__________________万元</w:t>
      </w:r>
      <w:r>
        <w:rPr>
          <w:sz w:val="7"/>
        </w:rPr>
        <w:t>1</w:t>
      </w:r>
      <w:r>
        <w:rPr/>
        <w:t>，属于（中型企业、小型企业、微型企业）；</w:t>
      </w:r>
    </w:p>
    <w:p>
      <w:pPr>
        <w:ind w:firstLine="480"/>
      </w:pPr>
      <w:r>
        <w:rPr/>
        <w:t>2.（标的名称），属于（磋商文件中明确的所属行业）行业；制造商为（企业名称），从业人员__________________人，营业收入为__________________万元，资产总额为__________________万元</w:t>
      </w:r>
      <w:r>
        <w:rPr>
          <w:sz w:val="7"/>
        </w:rPr>
        <w:t>1</w:t>
      </w:r>
      <w:r>
        <w:rPr/>
        <w:t>，属于（中型企业、小型企业、微型企业）；</w:t>
      </w:r>
    </w:p>
    <w:p>
      <w:pPr>
        <w:ind w:firstLine="480"/>
      </w:pPr>
      <w:r>
        <w:rPr/>
        <w:t>……</w:t>
      </w:r>
    </w:p>
    <w:p>
      <w:pPr>
        <w:ind w:firstLine="480"/>
      </w:pPr>
      <w:r>
        <w:rPr/>
        <w:t>以上企业，不属于大企业的分支机构，不存在控股股东为大企业的情形，也不存在与大企业的负责人为同一人的情形。</w:t>
      </w:r>
    </w:p>
    <w:p>
      <w:pPr>
        <w:ind w:firstLine="480"/>
      </w:pPr>
      <w:r>
        <w:rPr/>
        <w:t>本企业对上述声明内容的真实性负责。如有虚假，将依法承担相应责任。</w:t>
      </w:r>
    </w:p>
    <w:p>
      <w:pPr>
        <w:jc w:val="right"/>
      </w:pPr>
      <w:r>
        <w:rPr/>
        <w:t xml:space="preserve"> 企业名称（盖章）：__________________</w:t>
      </w:r>
    </w:p>
    <w:p>
      <w:pPr>
        <w:jc w:val="right"/>
      </w:pPr>
      <w:r>
        <w:rPr/>
        <w:t xml:space="preserve"> 日  期：__________________</w:t>
      </w:r>
    </w:p>
    <w:p>
      <w:pPr>
        <w:ind w:firstLine="480"/>
      </w:pPr>
    </w:p>
    <w:p>
      <w:pPr>
        <w:ind w:firstLine="480"/>
      </w:pPr>
    </w:p>
    <w:p>
      <w:pPr>
        <w:ind w:firstLine="480"/>
      </w:pPr>
      <w:r>
        <w:rPr/>
        <w:t>1：从业人员、营业收入、资产总额填报上一年度数据，无上一年度数据的新成立企业可不填报。</w:t>
      </w:r>
    </w:p>
    <w:p>
      <w:pPr>
        <w:ind w:firstLine="480"/>
      </w:pPr>
      <w:r>
        <w:rPr/>
        <w:t>2：供应商应当对其出具的《中小企业声明函》真实性负责，供应商出具的《中小企业声明函》内容不实的，属于提供虚假材料谋取成交。在实际操作中，供应商希望获得中小企业扶持政策支持的，应从制造商处获得充分、准确的信息。对相关制造商信息了解不充分，或者不能确定相关信息真实、准确的，不建议出具《中小企业声明函》。</w:t>
      </w:r>
    </w:p>
    <w:p>
      <w:pPr>
        <w:ind w:firstLine="480"/>
      </w:pPr>
    </w:p>
    <w:p>
      <w:r>
        <w:rPr/>
        <w:t xml:space="preserve"> </w:t>
      </w:r>
    </w:p>
    <w:p/>
    <w:p>
      <w:pPr>
        <w:ind w:firstLine="480"/>
      </w:pPr>
      <w:r>
        <w:rPr/>
        <w:t>中小企业声明函（承建本项目工程为中小企业或者承接本项目服务为中小企业时提交本函，所属行业应符合磋商文件中明确的本项目所属行业）</w:t>
      </w:r>
    </w:p>
    <w:p>
      <w:pPr>
        <w:jc w:val="center"/>
      </w:pPr>
      <w:r>
        <w:rPr>
          <w:b/>
          <w:sz w:val="24"/>
        </w:rPr>
        <w:t>中小企业声明函（工程、服务）</w:t>
      </w:r>
    </w:p>
    <w:p>
      <w:pPr>
        <w:ind w:firstLine="480"/>
      </w:pPr>
      <w:r>
        <w:rPr/>
        <w:t>本公司（联合体）郑重声明，根据《政府采购促进中小企业发展管理办法》（财库﹝2020﹞46</w:t>
        <w:tab/>
        <w:tab/>
        <w:t xml:space="preserve">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ind w:firstLine="480"/>
      </w:pPr>
      <w:r>
        <w:rPr/>
        <w:t>1.（标的名称），属于（磋商文件中明确的所属行业）行业；承建（承接）企业为（企业名称），从业人员__________________人，营业收入为__________________万元，资产总额为__________________万元</w:t>
      </w:r>
      <w:r>
        <w:rPr>
          <w:sz w:val="7"/>
        </w:rPr>
        <w:t>1</w:t>
      </w:r>
      <w:r>
        <w:rPr/>
        <w:t>，属于（中型企业、小型企业、微型企业）；</w:t>
      </w:r>
    </w:p>
    <w:p>
      <w:pPr>
        <w:ind w:firstLine="480"/>
      </w:pPr>
      <w:r>
        <w:rPr/>
        <w:t>2.（标的名称），属于（磋商文件中明确的所属行业）行业；承建（承接）企业为（企业名称），从业人员__________________人，营业收入为__________________万元，资产总额为__________________万元</w:t>
      </w:r>
      <w:r>
        <w:rPr>
          <w:sz w:val="7"/>
        </w:rPr>
        <w:t>1</w:t>
      </w:r>
      <w:r>
        <w:rPr/>
        <w:t>，属于（中型企业、小型企业、微型企业）；</w:t>
      </w:r>
    </w:p>
    <w:p>
      <w:pPr>
        <w:ind w:firstLine="480"/>
      </w:pPr>
      <w:r>
        <w:rPr/>
        <w:t>……</w:t>
      </w:r>
    </w:p>
    <w:p>
      <w:pPr>
        <w:ind w:firstLine="480"/>
      </w:pPr>
      <w:r>
        <w:rPr/>
        <w:t>以上企业，不属于大企业的分支机构，不存在控股股东为大企业的情形，也不存在与大企业的负责人为同一人的情形。</w:t>
      </w:r>
    </w:p>
    <w:p>
      <w:pPr>
        <w:ind w:firstLine="480"/>
      </w:pPr>
      <w:r>
        <w:rPr/>
        <w:t>本企业对上述声明内容的真实性负责。如有虚假，将依法承担相应责任。</w:t>
      </w:r>
    </w:p>
    <w:p>
      <w:pPr>
        <w:jc w:val="right"/>
      </w:pPr>
      <w:r>
        <w:rPr/>
        <w:t xml:space="preserve"> 企业名称（盖章）：__________________</w:t>
      </w:r>
    </w:p>
    <w:p>
      <w:pPr>
        <w:jc w:val="right"/>
      </w:pPr>
      <w:r>
        <w:rPr/>
        <w:t xml:space="preserve"> 日  期：__________________</w:t>
      </w:r>
    </w:p>
    <w:p>
      <w:pPr>
        <w:ind w:firstLine="480"/>
      </w:pPr>
      <w:r>
        <w:rPr/>
        <w:t>1：从业人员、营业收入、资产总额填报上一年度数据，无上一年度数据的新成立企业可不填报。</w:t>
      </w:r>
    </w:p>
    <w:p>
      <w:pPr>
        <w:ind w:firstLine="480"/>
      </w:pPr>
      <w:r>
        <w:rPr/>
        <w:t>2：供应商应当自行核实是否属于小微企业，并认真填写声明函，若有虚假将追究其责任。</w:t>
      </w:r>
    </w:p>
    <w:p>
      <w:pPr>
        <w:ind w:firstLine="480"/>
      </w:pPr>
    </w:p>
    <w:p>
      <w:r>
        <w:rPr/>
        <w:t xml:space="preserve"> </w:t>
      </w:r>
    </w:p>
    <w:p/>
    <w:p>
      <w:r>
        <w:rPr>
          <w:b/>
          <w:sz w:val="28"/>
        </w:rPr>
        <w:t>格式十二：</w:t>
      </w:r>
    </w:p>
    <w:p>
      <w:pPr>
        <w:ind w:firstLine="480"/>
      </w:pPr>
      <w:r>
        <w:rPr/>
        <w:t>（以下格式文件由供应商根据需要选用）</w:t>
      </w:r>
    </w:p>
    <w:p>
      <w:pPr>
        <w:jc w:val="center"/>
      </w:pPr>
      <w:r>
        <w:rPr>
          <w:b/>
          <w:sz w:val="24"/>
        </w:rPr>
        <w:t>监狱企业</w:t>
      </w:r>
    </w:p>
    <w:p>
      <w:pPr>
        <w:ind w:firstLine="480"/>
      </w:pPr>
      <w:r>
        <w:rPr/>
        <w:t>提供由监狱管理局、戒毒管理局（含新疆生产建设兵团）出具的属于监狱企业的证明文件。</w:t>
      </w:r>
    </w:p>
    <w:p>
      <w:pPr>
        <w:ind w:firstLine="480"/>
      </w:pPr>
    </w:p>
    <w:p>
      <w:r>
        <w:rPr/>
        <w:t xml:space="preserve"> </w:t>
      </w:r>
    </w:p>
    <w:p/>
    <w:p>
      <w:r>
        <w:rPr>
          <w:b/>
          <w:sz w:val="28"/>
        </w:rPr>
        <w:t>格式十三：</w:t>
      </w:r>
    </w:p>
    <w:p>
      <w:pPr>
        <w:ind w:firstLine="480"/>
      </w:pPr>
      <w:r>
        <w:rPr/>
        <w:t>（以下格式文件由供应商根据需要选用）</w:t>
      </w:r>
    </w:p>
    <w:p>
      <w:pPr>
        <w:jc w:val="center"/>
      </w:pPr>
      <w:r>
        <w:rPr>
          <w:b/>
          <w:sz w:val="24"/>
        </w:rPr>
        <w:t>残疾人福利性单位声明函</w:t>
      </w:r>
    </w:p>
    <w:p>
      <w:pPr>
        <w:ind w:firstLine="480"/>
      </w:pPr>
      <w:r>
        <w:rPr/>
        <w:t>本单位郑重声明，根据《财政部 民政部 中国残疾人联合会关于促进残疾人就业政府采购政策的通知》（财库〔2017〕</w:t>
        <w:tab/>
        <w:tab/>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80"/>
      </w:pPr>
      <w:r>
        <w:rPr/>
        <w:t>本单位对上述声明的真实性负责。如有虚假，将依法承担相应责任。</w:t>
      </w:r>
    </w:p>
    <w:p>
      <w:pPr>
        <w:jc w:val="right"/>
      </w:pPr>
      <w:r>
        <w:rPr/>
        <w:t>单位名称（盖章）：__________________</w:t>
      </w:r>
    </w:p>
    <w:p>
      <w:pPr>
        <w:jc w:val="right"/>
      </w:pPr>
      <w:r>
        <w:rPr/>
        <w:t xml:space="preserve"> 日  期：__________________</w:t>
      </w:r>
    </w:p>
    <w:p>
      <w:pPr>
        <w:ind w:firstLine="480"/>
      </w:pPr>
      <w:r>
        <w:rPr/>
        <w:t>注：本函未填写或未勾选视作未做声明。</w:t>
      </w:r>
    </w:p>
    <w:p>
      <w:pPr>
        <w:ind w:firstLine="480"/>
      </w:pPr>
    </w:p>
    <w:p>
      <w:r>
        <w:rPr/>
        <w:t xml:space="preserve"> </w:t>
      </w:r>
    </w:p>
    <w:p/>
    <w:p>
      <w:r>
        <w:rPr>
          <w:b/>
          <w:sz w:val="28"/>
        </w:rPr>
        <w:t>格式十四：</w:t>
      </w:r>
    </w:p>
    <w:p>
      <w:pPr>
        <w:ind w:firstLine="480"/>
      </w:pPr>
      <w:r>
        <w:rPr/>
        <w:t>（以下格式文件由供应商根据需要选用）</w:t>
      </w:r>
    </w:p>
    <w:p>
      <w:pPr>
        <w:jc w:val="center"/>
      </w:pPr>
      <w:r>
        <w:rPr>
          <w:b/>
          <w:sz w:val="24"/>
        </w:rPr>
        <w:t>联合体共同响应协议书</w:t>
      </w:r>
    </w:p>
    <w:p>
      <w:pPr>
        <w:ind w:firstLine="480"/>
      </w:pPr>
      <w:r>
        <w:rPr/>
        <w:t>立约方：</w:t>
      </w:r>
      <w:r>
        <w:rPr>
          <w:u w:val="single"/>
        </w:rPr>
        <w:t>（甲公司全称）</w:t>
      </w:r>
    </w:p>
    <w:p>
      <w:pPr>
        <w:ind w:firstLine="480"/>
      </w:pPr>
      <w:r>
        <w:rPr>
          <w:u w:val="single"/>
        </w:rPr>
        <w:t>（乙公司全称）</w:t>
      </w:r>
    </w:p>
    <w:p>
      <w:pPr>
        <w:ind w:firstLine="480"/>
      </w:pPr>
      <w:r>
        <w:rPr>
          <w:u w:val="single"/>
        </w:rPr>
        <w:t>（……公司全称）</w:t>
      </w:r>
    </w:p>
    <w:p>
      <w:pPr>
        <w:ind w:firstLine="480"/>
      </w:pPr>
      <w:r>
        <w:rPr>
          <w:u w:val="single"/>
        </w:rPr>
        <w:t>（甲公司全称）、（乙公司全称）、（……公司全称）</w:t>
      </w:r>
      <w:r>
        <w:rPr/>
        <w:t>自愿组成联合体，以一个供应商的身份共同参加（采购项目名称）（采购项目编号）的响应活动。经各方充分协商一致，就项目的响应和合同实施阶段的有关事务协商一致订立协议如下：</w:t>
      </w:r>
    </w:p>
    <w:p>
      <w:pPr>
        <w:ind w:firstLine="480"/>
      </w:pPr>
      <w:r>
        <w:rPr/>
        <w:t>一、联合体各方关系</w:t>
      </w:r>
    </w:p>
    <w:p>
      <w:pPr>
        <w:ind w:firstLine="480"/>
      </w:pPr>
      <w:r>
        <w:rPr>
          <w:u w:val="single"/>
        </w:rPr>
        <w:t>（甲公司全称）、（乙公司全称）、（……公司全称）</w:t>
      </w:r>
      <w:r>
        <w:rPr/>
        <w:t>共同组成一个联合体，以一个供应商的身份共同参加本项目的响应。（甲公司全称）、（乙公司全称）、（……公司全称）作为联合体成员，若成交，联合体各方共同与（采购人）签订政府采购合同。</w:t>
      </w:r>
    </w:p>
    <w:p>
      <w:pPr>
        <w:ind w:firstLine="480"/>
      </w:pPr>
      <w:r>
        <w:rPr/>
        <w:t>二、联合体内部有关事项约定如下：</w:t>
      </w:r>
    </w:p>
    <w:p>
      <w:pPr>
        <w:ind w:firstLine="480"/>
      </w:pPr>
      <w:r>
        <w:rPr/>
        <w:t>1.（甲公司全称）作为联合体的牵头单位，代表联合体双方负责响应和合同实施阶段的主办、协调工作。</w:t>
      </w:r>
    </w:p>
    <w:p>
      <w:pPr>
        <w:ind w:firstLine="480"/>
      </w:pPr>
      <w:r>
        <w:rPr/>
        <w:t>2.联合体将严格按照文件的各项要求，递交响应文件，切实执行一切合同文件，共同承担合同规定的一切义务和责任，同时按照内部职责的划分，承担自身所负的责任和风险，在法律在承担连带责任。</w:t>
      </w:r>
    </w:p>
    <w:p>
      <w:pPr>
        <w:ind w:firstLine="480"/>
      </w:pPr>
      <w:r>
        <w:rPr/>
        <w:t>3.如果本联合体成交，（甲公司全称）负责本项目___________部分，（乙公司全称）负责本项目___________部分。</w:t>
      </w:r>
    </w:p>
    <w:p>
      <w:pPr>
        <w:ind w:firstLine="480"/>
      </w:pPr>
      <w:r>
        <w:rPr/>
        <w:t>4.如成交，联合体各方共同与（采购人）签订合同书，并就成交项目向采购人负责有连带的和各自的法律责任；</w:t>
      </w:r>
    </w:p>
    <w:p>
      <w:pPr>
        <w:ind w:firstLine="480"/>
      </w:pPr>
      <w:r>
        <w:rPr/>
        <w:t>5.联合体成员（公司全称）为（请填写：小型、微型）企业，将承担合同总金额____%的工作内容（联合体成员中有小型、微型企业时适用）。</w:t>
      </w:r>
    </w:p>
    <w:p>
      <w:pPr>
        <w:ind w:firstLine="480"/>
      </w:pPr>
      <w:r>
        <w:rPr/>
        <w:t>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ind w:firstLine="480"/>
      </w:pPr>
      <w:r>
        <w:rPr/>
        <w:t>四、联合体如因违约过失责任而导致采购人经济损失或被索赔时，本联合体任何一方均同意无条件优先清偿采购人的一切债务和经济赔偿。</w:t>
      </w:r>
    </w:p>
    <w:p>
      <w:pPr>
        <w:ind w:firstLine="480"/>
      </w:pPr>
      <w:r>
        <w:rPr/>
        <w:t>五、本协议在自签署之日起生效，有效期内有效，如获成交资格，合同有效期延续至合同履行完毕之日。</w:t>
      </w:r>
    </w:p>
    <w:p>
      <w:pPr>
        <w:ind w:firstLine="480"/>
      </w:pPr>
      <w:r>
        <w:rPr/>
        <w:t>六、本协议书正本一式____份，随响应文件装订____份，送采购人____份，联合体成员各一份；副本一式____份，联合体成员各执____份。</w:t>
      </w:r>
    </w:p>
    <w:p>
      <w:pPr>
        <w:jc w:val="right"/>
      </w:pPr>
      <w:r>
        <w:rPr/>
        <w:t>甲公司全称：____（盖章）________，乙公司全称：____（盖章）________，……公司全称：____（盖章）________，</w:t>
      </w:r>
    </w:p>
    <w:p>
      <w:pPr>
        <w:jc w:val="right"/>
      </w:pPr>
      <w:r>
        <w:rPr/>
        <w:t>____年____月 ____日，____年____月____日，____年____月____日</w:t>
      </w:r>
    </w:p>
    <w:p>
      <w:pPr>
        <w:ind w:firstLine="480"/>
      </w:pPr>
      <w:r>
        <w:rPr/>
        <w:t>注：1．联合响应时需签本协议，联合体各方成员应在本协议上共同盖章确认。</w:t>
      </w:r>
    </w:p>
    <w:p>
      <w:pPr>
        <w:ind w:firstLine="480"/>
      </w:pPr>
      <w:r>
        <w:rPr/>
        <w:t>2．本协议内容不得擅自修改。此协议将作为签订合同的附件之一。</w:t>
      </w:r>
    </w:p>
    <w:p>
      <w:pPr>
        <w:ind w:firstLine="480"/>
      </w:pPr>
    </w:p>
    <w:p>
      <w:r>
        <w:rPr/>
        <w:t xml:space="preserve"> </w:t>
      </w:r>
    </w:p>
    <w:p/>
    <w:p>
      <w:r>
        <w:rPr>
          <w:b/>
          <w:sz w:val="28"/>
        </w:rPr>
        <w:t>格式十五：</w:t>
      </w:r>
    </w:p>
    <w:p>
      <w:pPr>
        <w:ind w:firstLine="480"/>
      </w:pPr>
      <w:r>
        <w:rPr/>
        <w:t>（以下格式文件由供应商根据需要选用）</w:t>
      </w:r>
    </w:p>
    <w:p>
      <w:pPr>
        <w:jc w:val="center"/>
      </w:pPr>
      <w:r>
        <w:rPr>
          <w:b/>
          <w:sz w:val="24"/>
        </w:rPr>
        <w:t>响应供应商业绩情况表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r>
              <w:rPr/>
              <w:t>序号</w:t>
            </w:r>
          </w:p>
        </w:tc>
        <w:tc>
          <w:tcPr>
            <w:tcW w:type="dxa" w:w="1384"/>
          </w:tcPr>
          <w:p>
            <w:r>
              <w:rPr/>
              <w:t>客户名称</w:t>
            </w:r>
          </w:p>
        </w:tc>
        <w:tc>
          <w:tcPr>
            <w:tcW w:type="dxa" w:w="1384"/>
          </w:tcPr>
          <w:p>
            <w:r>
              <w:rPr/>
              <w:t>项目名称及合同金额（万元）</w:t>
            </w:r>
          </w:p>
        </w:tc>
        <w:tc>
          <w:tcPr>
            <w:tcW w:type="dxa" w:w="1384"/>
          </w:tcPr>
          <w:p>
            <w:r>
              <w:rPr/>
              <w:t>签订合同时间</w:t>
            </w:r>
          </w:p>
        </w:tc>
        <w:tc>
          <w:tcPr>
            <w:tcW w:type="dxa" w:w="1384"/>
          </w:tcPr>
          <w:p>
            <w:r>
              <w:rPr/>
              <w:t>竣工验收报告时间</w:t>
            </w:r>
          </w:p>
        </w:tc>
        <w:tc>
          <w:tcPr>
            <w:tcW w:type="dxa" w:w="1384"/>
          </w:tcPr>
          <w:p>
            <w:r>
              <w:rPr/>
              <w:t>联系人及电话</w:t>
            </w:r>
          </w:p>
        </w:tc>
      </w:tr>
      <w:tr>
        <w:tc>
          <w:tcPr>
            <w:tcW w:type="dxa" w:w="1384"/>
          </w:tcPr>
          <w:p>
            <w:pPr>
              <w:jc w:val="center"/>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jc w:val="center"/>
            </w:pPr>
            <w:r>
              <w:rPr/>
              <w:t>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jc w:val="center"/>
            </w:pPr>
            <w:r>
              <w:rPr/>
              <w:t>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jc w:val="center"/>
            </w:pPr>
            <w:r>
              <w:rPr/>
              <w:t>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r>
              <w:rPr/>
              <w:t>…</w:t>
            </w:r>
          </w:p>
        </w:tc>
        <w:tc>
          <w:tcPr>
            <w:tcW w:type="dxa" w:w="1384"/>
          </w:tcPr>
          <w:p/>
        </w:tc>
        <w:tc>
          <w:tcPr>
            <w:tcW w:type="dxa" w:w="1384"/>
          </w:tcPr>
          <w:p/>
        </w:tc>
        <w:tc>
          <w:tcPr>
            <w:tcW w:type="dxa" w:w="1384"/>
          </w:tcPr>
          <w:p/>
        </w:tc>
        <w:tc>
          <w:tcPr>
            <w:tcW w:type="dxa" w:w="1384"/>
          </w:tcPr>
          <w:p/>
        </w:tc>
        <w:tc>
          <w:tcPr>
            <w:tcW w:type="dxa" w:w="1384"/>
          </w:tcPr>
          <w:p/>
        </w:tc>
      </w:tr>
    </w:tbl>
    <w:p>
      <w:pPr>
        <w:ind w:firstLine="480"/>
      </w:pPr>
      <w:r>
        <w:rPr/>
        <w:t>根据上述业绩情况，按磋商文件要求附销售或服务合同复印件。</w:t>
      </w:r>
    </w:p>
    <w:p>
      <w:pPr>
        <w:ind w:firstLine="480"/>
      </w:pPr>
    </w:p>
    <w:p>
      <w:r>
        <w:rPr/>
        <w:t xml:space="preserve"> </w:t>
      </w:r>
    </w:p>
    <w:p/>
    <w:p>
      <w:r>
        <w:rPr>
          <w:b/>
          <w:sz w:val="28"/>
        </w:rPr>
        <w:t>格式十六：</w:t>
      </w:r>
    </w:p>
    <w:p>
      <w:pPr>
        <w:jc w:val="center"/>
      </w:pPr>
      <w:r>
        <w:rPr>
          <w:b/>
          <w:sz w:val="24"/>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r>
              <w:rPr/>
              <w:t>序号</w:t>
            </w:r>
          </w:p>
        </w:tc>
        <w:tc>
          <w:tcPr>
            <w:tcW w:type="dxa" w:w="923"/>
          </w:tcPr>
          <w:p>
            <w:r>
              <w:rPr/>
              <w:t>标的名称</w:t>
            </w:r>
          </w:p>
        </w:tc>
        <w:tc>
          <w:tcPr>
            <w:tcW w:type="dxa" w:w="923"/>
          </w:tcPr>
          <w:p>
            <w:r>
              <w:rPr/>
              <w:t>参数性质</w:t>
            </w:r>
          </w:p>
        </w:tc>
        <w:tc>
          <w:tcPr>
            <w:tcW w:type="dxa" w:w="923"/>
          </w:tcPr>
          <w:p>
            <w:r>
              <w:rPr/>
              <w:t>磋商文件规定的技术和服务要求</w:t>
            </w:r>
          </w:p>
        </w:tc>
        <w:tc>
          <w:tcPr>
            <w:tcW w:type="dxa" w:w="923"/>
          </w:tcPr>
          <w:p>
            <w:r>
              <w:rPr/>
              <w:t>响应文件响应的具体内容</w:t>
            </w:r>
          </w:p>
        </w:tc>
        <w:tc>
          <w:tcPr>
            <w:tcW w:type="dxa" w:w="923"/>
          </w:tcPr>
          <w:p>
            <w:r>
              <w:rPr/>
              <w:t>型号</w:t>
            </w:r>
          </w:p>
        </w:tc>
        <w:tc>
          <w:tcPr>
            <w:tcW w:type="dxa" w:w="923"/>
          </w:tcPr>
          <w:p>
            <w:r>
              <w:rPr/>
              <w:t>是否偏离</w:t>
            </w:r>
          </w:p>
        </w:tc>
        <w:tc>
          <w:tcPr>
            <w:tcW w:type="dxa" w:w="923"/>
          </w:tcPr>
          <w:p>
            <w:r>
              <w:rPr/>
              <w:t>证明文件所在位置</w:t>
            </w:r>
          </w:p>
        </w:tc>
        <w:tc>
          <w:tcPr>
            <w:tcW w:type="dxa" w:w="923"/>
          </w:tcPr>
          <w:p>
            <w:r>
              <w:rPr/>
              <w:t>备注</w:t>
            </w:r>
          </w:p>
        </w:tc>
      </w:tr>
      <w:tr>
        <w:tc>
          <w:tcPr>
            <w:tcW w:type="dxa" w:w="923"/>
          </w:tcPr>
          <w:p>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ind w:firstLine="480"/>
      </w:pPr>
      <w:r>
        <w:rPr/>
        <w:t>说明：</w:t>
      </w:r>
    </w:p>
    <w:p>
      <w:pPr>
        <w:ind w:firstLine="480"/>
      </w:pPr>
      <w:r>
        <w:rPr/>
        <w:t>1.“磋商文件规定的技术和服务要求”项下填写的内容应与磋商文件中采购需求的</w:t>
        <w:tab/>
        <w:tab/>
        <w:t xml:space="preserve"> “技术要求”的内容保持一致。供应商应当如实填写上表“响应文件响应的具体内容”处内容，对磋商文件提出的要求和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rPr/>
        <w:t>。</w:t>
      </w:r>
    </w:p>
    <w:p>
      <w:pPr>
        <w:ind w:firstLine="480"/>
      </w:pPr>
      <w:r>
        <w:rPr/>
        <w:t>2.参数性质栏标注“★”、“▲”号条款标志，</w:t>
        <w:tab/>
        <w:tab/>
        <w:t xml:space="preserve"> 打“★”号条款为实质性条款，若有任何一条负偏离或不满足则导致响应无效。打“▲”号条款为重要技术参数（如有），若有部分“▲”条款未响应或不满足，将根据评审要求影响其得分，但不作为无效响应条款。</w:t>
      </w:r>
    </w:p>
    <w:p>
      <w:pPr>
        <w:ind w:firstLine="480"/>
      </w:pPr>
      <w:r>
        <w:rPr/>
        <w:t>3.“是否偏离”项下应按下列规定填写：优于的，填写“正偏离”；符合的，填写“无偏离”；低于的，填写“负偏离”。</w:t>
      </w:r>
    </w:p>
    <w:p>
      <w:pPr>
        <w:ind w:firstLine="480"/>
      </w:pPr>
      <w:r>
        <w:rPr/>
        <w:t>4.“备注”处可填写偏离情况的说明。</w:t>
      </w:r>
    </w:p>
    <w:p>
      <w:pPr>
        <w:ind w:firstLine="480"/>
      </w:pPr>
    </w:p>
    <w:p>
      <w:r>
        <w:rPr/>
        <w:t xml:space="preserve"> </w:t>
      </w:r>
    </w:p>
    <w:p/>
    <w:p>
      <w:r>
        <w:rPr>
          <w:b/>
          <w:sz w:val="28"/>
        </w:rPr>
        <w:t>格式十七：</w:t>
      </w:r>
    </w:p>
    <w:p>
      <w:pPr>
        <w:jc w:val="center"/>
      </w:pPr>
      <w:r>
        <w:rPr>
          <w:b/>
          <w:sz w:val="24"/>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r>
              <w:rPr/>
              <w:t>序号</w:t>
            </w:r>
          </w:p>
        </w:tc>
        <w:tc>
          <w:tcPr>
            <w:tcW w:type="dxa" w:w="1187"/>
          </w:tcPr>
          <w:p>
            <w:r>
              <w:rPr/>
              <w:t>参数性质</w:t>
            </w:r>
          </w:p>
        </w:tc>
        <w:tc>
          <w:tcPr>
            <w:tcW w:type="dxa" w:w="1187"/>
          </w:tcPr>
          <w:p>
            <w:r>
              <w:rPr/>
              <w:t>磋商文件规定的商务条件</w:t>
            </w:r>
          </w:p>
        </w:tc>
        <w:tc>
          <w:tcPr>
            <w:tcW w:type="dxa" w:w="1187"/>
          </w:tcPr>
          <w:p>
            <w:r>
              <w:rPr/>
              <w:t>响应文件响应的具体内容</w:t>
            </w:r>
          </w:p>
        </w:tc>
        <w:tc>
          <w:tcPr>
            <w:tcW w:type="dxa" w:w="1187"/>
          </w:tcPr>
          <w:p>
            <w:r>
              <w:rPr/>
              <w:t>是否偏离</w:t>
            </w:r>
          </w:p>
        </w:tc>
        <w:tc>
          <w:tcPr>
            <w:tcW w:type="dxa" w:w="1187"/>
          </w:tcPr>
          <w:p>
            <w:r>
              <w:rPr/>
              <w:t>证明文件所在位置</w:t>
            </w:r>
          </w:p>
        </w:tc>
        <w:tc>
          <w:tcPr>
            <w:tcW w:type="dxa" w:w="1187"/>
          </w:tcPr>
          <w:p>
            <w:r>
              <w:rPr/>
              <w:t>备注</w:t>
            </w:r>
          </w:p>
        </w:tc>
      </w:tr>
      <w:tr>
        <w:tc>
          <w:tcPr>
            <w:tcW w:type="dxa" w:w="1187"/>
          </w:tcPr>
          <w:p>
            <w:pPr>
              <w:jc w:val="center"/>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ind w:firstLine="480"/>
      </w:pPr>
      <w:r>
        <w:rPr/>
        <w:t>说明：</w:t>
      </w:r>
    </w:p>
    <w:p>
      <w:pPr>
        <w:ind w:firstLine="480"/>
      </w:pPr>
      <w:r>
        <w:rPr/>
        <w:t>1.“磋商文件规定的商务条件”项下填写的内容应与磋商文件中采购需求的 “商务要求”的内容保持一致。</w:t>
      </w:r>
    </w:p>
    <w:p>
      <w:pPr>
        <w:ind w:firstLine="480"/>
      </w:pPr>
      <w:r>
        <w:rPr/>
        <w:t>2.供应商应当如实填写上表“响应文件响应的具体内容”处内容，对磋商文件规定的商务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rPr/>
        <w:t>。</w:t>
      </w:r>
    </w:p>
    <w:p>
      <w:pPr>
        <w:ind w:firstLine="480"/>
      </w:pPr>
      <w:r>
        <w:rPr/>
        <w:t>3.参数性质栏标注“★”、“▲”号条款标志，</w:t>
        <w:tab/>
        <w:tab/>
        <w:t xml:space="preserve"> 打“★”号条款为实质性条款，若有任何一条负偏离或不满足则导致响应无效。打“▲”号条款为重要技术参数（如有），若有部分“▲”条款未响应或不满足，将根据评审要求影响其得分，但不作为无效响应条款。</w:t>
      </w:r>
    </w:p>
    <w:p>
      <w:pPr>
        <w:ind w:firstLine="480"/>
      </w:pPr>
      <w:r>
        <w:rPr/>
        <w:t>4.“是否偏离”项下应按下列规定填写：优于的，填写“正偏离”；符合的，填写“无偏离”；低于的，填写“负偏离”。</w:t>
      </w:r>
    </w:p>
    <w:p>
      <w:pPr>
        <w:ind w:firstLine="480"/>
      </w:pPr>
      <w:r>
        <w:rPr/>
        <w:t>5.“备注”处可填写偏离情况的说明。</w:t>
      </w:r>
    </w:p>
    <w:p>
      <w:pPr>
        <w:ind w:firstLine="480"/>
      </w:pPr>
    </w:p>
    <w:p>
      <w:r>
        <w:rPr/>
        <w:t xml:space="preserve"> </w:t>
      </w:r>
    </w:p>
    <w:p/>
    <w:p>
      <w:r>
        <w:rPr>
          <w:b/>
          <w:sz w:val="28"/>
        </w:rPr>
        <w:t>格式十八：</w:t>
      </w:r>
    </w:p>
    <w:p>
      <w:pPr>
        <w:ind w:firstLine="480"/>
      </w:pPr>
      <w:r>
        <w:rPr/>
        <w:t>（以下格式文件由供应商根据需要选用）</w:t>
      </w:r>
    </w:p>
    <w:p>
      <w:pPr>
        <w:jc w:val="center"/>
      </w:pPr>
      <w:r>
        <w:rPr>
          <w:b/>
          <w:sz w:val="24"/>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r>
              <w:rPr/>
              <w:t>序号</w:t>
            </w:r>
          </w:p>
        </w:tc>
        <w:tc>
          <w:tcPr>
            <w:tcW w:type="dxa" w:w="2076"/>
          </w:tcPr>
          <w:p>
            <w:r>
              <w:rPr/>
              <w:t>拟定时间安排</w:t>
            </w:r>
          </w:p>
        </w:tc>
        <w:tc>
          <w:tcPr>
            <w:tcW w:type="dxa" w:w="2076"/>
          </w:tcPr>
          <w:p>
            <w:r>
              <w:rPr/>
              <w:t>计划完成的工作内容</w:t>
            </w:r>
          </w:p>
        </w:tc>
        <w:tc>
          <w:tcPr>
            <w:tcW w:type="dxa" w:w="2076"/>
          </w:tcPr>
          <w:p>
            <w:r>
              <w:rPr/>
              <w:t>实施方建议或要求</w:t>
            </w:r>
          </w:p>
        </w:tc>
      </w:tr>
      <w:tr>
        <w:tc>
          <w:tcPr>
            <w:tcW w:type="dxa" w:w="2076"/>
          </w:tcPr>
          <w:p>
            <w:pPr>
              <w:jc w:val="center"/>
            </w:pPr>
            <w:r>
              <w:rPr/>
              <w:t>1</w:t>
            </w:r>
          </w:p>
        </w:tc>
        <w:tc>
          <w:tcPr>
            <w:tcW w:type="dxa" w:w="2076"/>
          </w:tcPr>
          <w:p>
            <w:r>
              <w:rPr/>
              <w:t>拟定___年___月___日</w:t>
            </w:r>
          </w:p>
        </w:tc>
        <w:tc>
          <w:tcPr>
            <w:tcW w:type="dxa" w:w="2076"/>
          </w:tcPr>
          <w:p>
            <w:r>
              <w:rPr/>
              <w:t>签订合同并生效</w:t>
            </w:r>
          </w:p>
        </w:tc>
        <w:tc>
          <w:tcPr>
            <w:tcW w:type="dxa" w:w="2076"/>
          </w:tcPr>
          <w:p/>
        </w:tc>
      </w:tr>
      <w:tr>
        <w:tc>
          <w:tcPr>
            <w:tcW w:type="dxa" w:w="2076"/>
          </w:tcPr>
          <w:p>
            <w:pPr>
              <w:jc w:val="center"/>
            </w:pPr>
            <w:r>
              <w:rPr/>
              <w:t>2</w:t>
            </w:r>
          </w:p>
        </w:tc>
        <w:tc>
          <w:tcPr>
            <w:tcW w:type="dxa" w:w="2076"/>
          </w:tcPr>
          <w:p>
            <w:r>
              <w:rPr/>
              <w:t>___月___日—___月___日</w:t>
            </w:r>
          </w:p>
        </w:tc>
        <w:tc>
          <w:tcPr>
            <w:tcW w:type="dxa" w:w="2076"/>
          </w:tcPr>
          <w:p/>
        </w:tc>
        <w:tc>
          <w:tcPr>
            <w:tcW w:type="dxa" w:w="2076"/>
          </w:tcPr>
          <w:p/>
        </w:tc>
      </w:tr>
      <w:tr>
        <w:tc>
          <w:tcPr>
            <w:tcW w:type="dxa" w:w="2076"/>
          </w:tcPr>
          <w:p>
            <w:pPr>
              <w:jc w:val="center"/>
            </w:pPr>
            <w:r>
              <w:rPr/>
              <w:t>3</w:t>
            </w:r>
          </w:p>
        </w:tc>
        <w:tc>
          <w:tcPr>
            <w:tcW w:type="dxa" w:w="2076"/>
          </w:tcPr>
          <w:p>
            <w:r>
              <w:rPr/>
              <w:t>___月___日—___月___日</w:t>
            </w:r>
          </w:p>
        </w:tc>
        <w:tc>
          <w:tcPr>
            <w:tcW w:type="dxa" w:w="2076"/>
          </w:tcPr>
          <w:p/>
        </w:tc>
        <w:tc>
          <w:tcPr>
            <w:tcW w:type="dxa" w:w="2076"/>
          </w:tcPr>
          <w:p/>
        </w:tc>
      </w:tr>
      <w:tr>
        <w:tc>
          <w:tcPr>
            <w:tcW w:type="dxa" w:w="2076"/>
          </w:tcPr>
          <w:p>
            <w:pPr>
              <w:jc w:val="center"/>
            </w:pPr>
            <w:r>
              <w:rPr/>
              <w:t>4</w:t>
            </w:r>
          </w:p>
        </w:tc>
        <w:tc>
          <w:tcPr>
            <w:tcW w:type="dxa" w:w="2076"/>
          </w:tcPr>
          <w:p>
            <w:r>
              <w:rPr/>
              <w:t>___月___日—___月___日</w:t>
            </w:r>
          </w:p>
        </w:tc>
        <w:tc>
          <w:tcPr>
            <w:tcW w:type="dxa" w:w="2076"/>
          </w:tcPr>
          <w:p>
            <w:r>
              <w:rPr/>
              <w:t>质保期</w:t>
            </w:r>
          </w:p>
        </w:tc>
        <w:tc>
          <w:tcPr>
            <w:tcW w:type="dxa" w:w="2076"/>
          </w:tcPr>
          <w:p/>
        </w:tc>
      </w:tr>
    </w:tbl>
    <w:p>
      <w:pPr>
        <w:ind w:firstLine="480"/>
      </w:pPr>
    </w:p>
    <w:p>
      <w:r>
        <w:rPr/>
        <w:t xml:space="preserve"> </w:t>
      </w:r>
    </w:p>
    <w:p/>
    <w:p>
      <w:r>
        <w:rPr>
          <w:b/>
          <w:sz w:val="28"/>
        </w:rPr>
        <w:t>格式十九：</w:t>
      </w:r>
    </w:p>
    <w:p>
      <w:pPr>
        <w:ind w:firstLine="480"/>
      </w:pPr>
      <w:r>
        <w:rPr/>
        <w:t>（以下格式文件由供应商根据需要选用）</w:t>
      </w:r>
    </w:p>
    <w:p>
      <w:pPr>
        <w:jc w:val="center"/>
      </w:pPr>
      <w:r>
        <w:rPr>
          <w:b/>
          <w:sz w:val="24"/>
        </w:rPr>
        <w:t>各类证明材料</w:t>
      </w:r>
    </w:p>
    <w:p>
      <w:pPr>
        <w:ind w:firstLine="480"/>
      </w:pPr>
      <w:r>
        <w:rPr/>
        <w:t>1.磋商文件要求提供的其他资料。</w:t>
      </w:r>
    </w:p>
    <w:p>
      <w:pPr>
        <w:ind w:firstLine="480"/>
      </w:pPr>
      <w:r>
        <w:rPr/>
        <w:t>2.供应商认为需提供的其他资料。</w:t>
      </w:r>
    </w:p>
    <w:p>
      <w:pPr>
        <w:ind w:firstLine="480"/>
      </w:pPr>
    </w:p>
    <w:p>
      <w:r>
        <w:rPr/>
        <w:t xml:space="preserve"> </w:t>
      </w:r>
    </w:p>
    <w:p/>
    <w:p>
      <w:r>
        <w:rPr>
          <w:b/>
          <w:sz w:val="28"/>
        </w:rPr>
        <w:t>格式二十：</w:t>
      </w:r>
    </w:p>
    <w:p>
      <w:pPr>
        <w:ind w:firstLine="480"/>
      </w:pPr>
      <w:r>
        <w:rPr/>
        <w:t>（若采购人支付代理服务费，则无需出具此承诺书）</w:t>
      </w:r>
    </w:p>
    <w:p>
      <w:pPr>
        <w:jc w:val="center"/>
      </w:pPr>
      <w:r>
        <w:rPr>
          <w:b/>
          <w:sz w:val="24"/>
        </w:rPr>
        <w:t>代理服务费缴纳承诺函</w:t>
      </w:r>
    </w:p>
    <w:p>
      <w:pPr>
        <w:ind w:firstLine="480"/>
      </w:pPr>
      <w:r>
        <w:rPr/>
        <w:t>致：</w:t>
      </w:r>
      <w:r>
        <w:rPr/>
        <w:t>云浮市国御招标代理有限公司</w:t>
      </w:r>
    </w:p>
    <w:p>
      <w:pPr>
        <w:ind w:firstLine="480"/>
      </w:pPr>
      <w:r>
        <w:rPr/>
        <w:t>我单位参加贵公司组织的</w:t>
      </w:r>
      <w:r>
        <w:rPr/>
        <w:t>云浮市云安区档案馆配套库房（简易库房）建设采购项目</w:t>
      </w:r>
      <w:r>
        <w:rPr/>
        <w:t>（采购项目编号：</w:t>
      </w:r>
      <w:r>
        <w:rPr/>
        <w:t>445303-2023-00574</w:t>
      </w:r>
      <w:r>
        <w:rPr/>
        <w:t>），作出如下承诺：</w:t>
      </w:r>
    </w:p>
    <w:p>
      <w:pPr>
        <w:ind w:firstLine="480"/>
      </w:pPr>
      <w:r>
        <w:rPr/>
        <w:t>1、完全响应磋商文件中要求的条款，若提供虚假资料将作为无效响应处理，并接受相关部门的处罚。</w:t>
      </w:r>
    </w:p>
    <w:p>
      <w:pPr>
        <w:ind w:firstLine="480"/>
      </w:pPr>
      <w:r>
        <w:rPr/>
        <w:t>2、我单位若被选为成交供应商，承诺按照规定缴纳代理服务费。代理服务费包括组织专家对审查供应商资格、答疑、组织磋商、评审、确定成交供应商，以及提供采购前期咨询、协调合同的签订等服务，按______支付。</w:t>
      </w:r>
    </w:p>
    <w:p>
      <w:pPr>
        <w:ind w:firstLine="480"/>
      </w:pPr>
      <w:r>
        <w:rPr/>
        <w:t>3、如我公司被选为成交供应商，在成交结果公示后3日内向采购代理机构指定账户缴付代理服务费。</w:t>
      </w:r>
    </w:p>
    <w:p>
      <w:pPr>
        <w:ind w:firstLine="480"/>
      </w:pPr>
      <w:r>
        <w:rPr/>
        <w:t>特此承诺！</w:t>
      </w:r>
    </w:p>
    <w:p>
      <w:pPr>
        <w:ind w:firstLine="480"/>
      </w:pPr>
    </w:p>
    <w:p>
      <w:pPr>
        <w:jc w:val="right"/>
      </w:pPr>
      <w:r>
        <w:rPr/>
        <w:t>供应商法定名称（公章）；_____________________</w:t>
      </w:r>
    </w:p>
    <w:p>
      <w:pPr>
        <w:jc w:val="right"/>
      </w:pPr>
      <w:r>
        <w:rPr/>
        <w:t>供应商法定地址：_____________________</w:t>
      </w:r>
    </w:p>
    <w:p>
      <w:pPr>
        <w:jc w:val="right"/>
      </w:pPr>
      <w:r>
        <w:rPr/>
        <w:t>供应商授权代表（签字或盖章）：_____________________</w:t>
      </w:r>
    </w:p>
    <w:p>
      <w:pPr>
        <w:jc w:val="right"/>
      </w:pPr>
      <w:r>
        <w:rPr/>
        <w:t>电 话：_____________________</w:t>
      </w:r>
    </w:p>
    <w:p>
      <w:pPr>
        <w:jc w:val="right"/>
      </w:pPr>
      <w:r>
        <w:rPr/>
        <w:t>传 真：_____________________</w:t>
      </w:r>
    </w:p>
    <w:p>
      <w:pPr>
        <w:jc w:val="right"/>
      </w:pPr>
      <w:r>
        <w:rPr/>
        <w:t>承诺日期：_____________________</w:t>
      </w:r>
    </w:p>
    <w:p>
      <w:pPr>
        <w:ind w:firstLine="480"/>
      </w:pPr>
    </w:p>
    <w:p>
      <w:r>
        <w:rPr/>
        <w:t xml:space="preserve"> </w:t>
      </w:r>
    </w:p>
    <w:p/>
    <w:p>
      <w:r>
        <w:rPr>
          <w:b/>
          <w:sz w:val="28"/>
        </w:rPr>
        <w:t>格式二十一：</w:t>
      </w:r>
    </w:p>
    <w:p>
      <w:pPr>
        <w:ind w:firstLine="480"/>
      </w:pPr>
      <w:r>
        <w:rPr/>
        <w:t>（以下格式文件由供应商根据需要选用）</w:t>
      </w:r>
    </w:p>
    <w:p>
      <w:pPr>
        <w:jc w:val="center"/>
      </w:pPr>
      <w:r>
        <w:rPr>
          <w:b/>
          <w:sz w:val="24"/>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r>
              <w:rPr/>
              <w:t>序号</w:t>
            </w:r>
          </w:p>
        </w:tc>
        <w:tc>
          <w:tcPr>
            <w:tcW w:type="dxa" w:w="4153"/>
          </w:tcPr>
          <w:p>
            <w:r>
              <w:rPr/>
              <w:t>供应商需要采购人提供的附加条件</w:t>
            </w:r>
          </w:p>
        </w:tc>
      </w:tr>
      <w:tr>
        <w:tc>
          <w:tcPr>
            <w:tcW w:type="dxa" w:w="4153"/>
          </w:tcPr>
          <w:p>
            <w:pPr>
              <w:jc w:val="center"/>
            </w:pPr>
            <w:r>
              <w:rPr/>
              <w:t>1</w:t>
            </w:r>
          </w:p>
        </w:tc>
        <w:tc>
          <w:tcPr>
            <w:tcW w:type="dxa" w:w="4153"/>
          </w:tcPr>
          <w:p/>
        </w:tc>
      </w:tr>
      <w:tr>
        <w:tc>
          <w:tcPr>
            <w:tcW w:type="dxa" w:w="4153"/>
          </w:tcPr>
          <w:p>
            <w:pPr>
              <w:jc w:val="center"/>
            </w:pPr>
            <w:r>
              <w:rPr/>
              <w:t>2</w:t>
            </w:r>
          </w:p>
        </w:tc>
        <w:tc>
          <w:tcPr>
            <w:tcW w:type="dxa" w:w="4153"/>
          </w:tcPr>
          <w:p/>
        </w:tc>
      </w:tr>
      <w:tr>
        <w:tc>
          <w:tcPr>
            <w:tcW w:type="dxa" w:w="4153"/>
          </w:tcPr>
          <w:p>
            <w:pPr>
              <w:jc w:val="center"/>
            </w:pPr>
            <w:r>
              <w:rPr/>
              <w:t>3</w:t>
            </w:r>
          </w:p>
        </w:tc>
        <w:tc>
          <w:tcPr>
            <w:tcW w:type="dxa" w:w="4153"/>
          </w:tcPr>
          <w:p/>
        </w:tc>
      </w:tr>
    </w:tbl>
    <w:p>
      <w:pPr>
        <w:ind w:firstLine="480"/>
      </w:pPr>
      <w:r>
        <w:rPr/>
        <w:t>注：供应商完成本项目需要采购人配合或提供的条件必须在上表列出，否则将视为供应商同意按现有条件完成本项目。如上表所列附加条件含有采购人不能接受的，将被视为响应无效。</w:t>
      </w:r>
    </w:p>
    <w:p>
      <w:pPr>
        <w:ind w:firstLine="480"/>
      </w:pPr>
    </w:p>
    <w:p>
      <w:r>
        <w:rPr/>
        <w:t xml:space="preserve"> </w:t>
      </w:r>
    </w:p>
    <w:p/>
    <w:p>
      <w:r>
        <w:rPr>
          <w:b/>
          <w:sz w:val="28"/>
        </w:rPr>
        <w:t>格式二十二：</w:t>
      </w:r>
    </w:p>
    <w:p>
      <w:pPr>
        <w:ind w:firstLine="480"/>
      </w:pPr>
      <w:r>
        <w:rPr/>
        <w:t>（以下格式文件由供应商根据需要选用）</w:t>
      </w:r>
    </w:p>
    <w:p>
      <w:pPr>
        <w:jc w:val="center"/>
      </w:pPr>
      <w:r>
        <w:rPr>
          <w:b/>
          <w:sz w:val="24"/>
        </w:rPr>
        <w:t>询问函、质疑函、投诉书格式</w:t>
      </w:r>
    </w:p>
    <w:p>
      <w:pPr>
        <w:ind w:firstLine="480"/>
      </w:pPr>
      <w:r>
        <w:rPr/>
        <w:t>说明：本部分格式为供应商提交询问函、质疑函、投诉函时使用，不属于响应文件格式的组成部分。</w:t>
      </w:r>
    </w:p>
    <w:p>
      <w:pPr>
        <w:jc w:val="center"/>
      </w:pPr>
      <w:r>
        <w:rPr>
          <w:b/>
          <w:sz w:val="24"/>
        </w:rPr>
        <w:t>询问函</w:t>
      </w:r>
    </w:p>
    <w:p>
      <w:pPr>
        <w:ind w:firstLine="480"/>
      </w:pPr>
      <w:r>
        <w:rPr/>
        <w:t>云浮市国御招标代理有限公司</w:t>
      </w:r>
    </w:p>
    <w:p>
      <w:pPr>
        <w:ind w:firstLine="480"/>
      </w:pPr>
      <w:r>
        <w:rPr/>
        <w:t>我单位已登记并准备参与“</w:t>
      </w:r>
      <w:r>
        <w:rPr/>
        <w:t>云浮市云安区档案馆配套库房（简易库房）建设采购项目</w:t>
      </w:r>
      <w:r>
        <w:rPr/>
        <w:t>”项目（采购项目编号：</w:t>
      </w:r>
      <w:r>
        <w:rPr/>
        <w:t>445303-2023-00574</w:t>
      </w:r>
      <w:r>
        <w:rPr/>
        <w:t>）的响应活动，现有以下几个内容（或条款）存在疑问（或无法理解），特提出询问。</w:t>
      </w:r>
    </w:p>
    <w:p>
      <w:pPr>
        <w:ind w:firstLine="480"/>
      </w:pPr>
      <w:r>
        <w:rPr/>
        <w:t>一、_____________________（事项一）</w:t>
      </w:r>
    </w:p>
    <w:p>
      <w:pPr>
        <w:ind w:firstLine="480"/>
      </w:pPr>
      <w:r>
        <w:rPr/>
        <w:t>（1）____________________（问题或条款内容）</w:t>
      </w:r>
    </w:p>
    <w:p>
      <w:pPr>
        <w:ind w:firstLine="480"/>
      </w:pPr>
      <w:r>
        <w:rPr/>
        <w:t>（2）____________________（说明疑问或无法理解原因）</w:t>
      </w:r>
    </w:p>
    <w:p>
      <w:pPr>
        <w:ind w:firstLine="480"/>
      </w:pPr>
      <w:r>
        <w:rPr/>
        <w:t>（3）____________________（建议）</w:t>
      </w:r>
    </w:p>
    <w:p>
      <w:pPr>
        <w:ind w:firstLine="480"/>
      </w:pPr>
      <w:r>
        <w:rPr/>
        <w:t>二、_____________________（事项二）</w:t>
      </w:r>
    </w:p>
    <w:p>
      <w:pPr>
        <w:ind w:firstLine="480"/>
      </w:pPr>
      <w:r>
        <w:rPr/>
        <w:t>...</w:t>
      </w:r>
    </w:p>
    <w:p>
      <w:pPr>
        <w:ind w:firstLine="480"/>
      </w:pPr>
      <w:r>
        <w:rPr/>
        <w:t>随附相关证明材料如下：（目录）</w:t>
      </w:r>
    </w:p>
    <w:p>
      <w:pPr>
        <w:ind w:firstLine="480"/>
      </w:pPr>
      <w:r>
        <w:rPr/>
        <w:t>询问人：（公章）</w:t>
      </w:r>
    </w:p>
    <w:p>
      <w:pPr>
        <w:ind w:firstLine="480"/>
      </w:pPr>
      <w:r>
        <w:rPr/>
        <w:t>法定代表人（授权代表）：</w:t>
      </w:r>
    </w:p>
    <w:p>
      <w:pPr>
        <w:ind w:firstLine="480"/>
      </w:pPr>
      <w:r>
        <w:rPr/>
        <w:t>地址/邮编：</w:t>
      </w:r>
    </w:p>
    <w:p>
      <w:pPr>
        <w:ind w:firstLine="480"/>
      </w:pPr>
      <w:r>
        <w:rPr/>
        <w:t>电话/传真：</w:t>
      </w:r>
    </w:p>
    <w:p>
      <w:pPr>
        <w:jc w:val="right"/>
      </w:pPr>
      <w:r>
        <w:rPr/>
        <w:t xml:space="preserve"> 日  期：__________________</w:t>
      </w:r>
    </w:p>
    <w:p>
      <w:pPr>
        <w:ind w:firstLine="480"/>
      </w:pPr>
    </w:p>
    <w:p>
      <w:r>
        <w:rPr/>
        <w:t xml:space="preserve"> </w:t>
      </w:r>
    </w:p>
    <w:p/>
    <w:p>
      <w:pPr>
        <w:jc w:val="center"/>
      </w:pPr>
      <w:r>
        <w:rPr>
          <w:b/>
          <w:sz w:val="24"/>
        </w:rPr>
        <w:t>质疑函</w:t>
      </w:r>
    </w:p>
    <w:p>
      <w:pPr>
        <w:ind w:firstLine="480"/>
      </w:pPr>
      <w:r>
        <w:rPr/>
        <w:t>一、质疑供应商基本信息</w:t>
      </w:r>
    </w:p>
    <w:p>
      <w:pPr>
        <w:ind w:firstLine="480"/>
      </w:pPr>
      <w:r>
        <w:rPr/>
        <w:t>质疑供应商：__________________________________________</w:t>
      </w:r>
    </w:p>
    <w:p>
      <w:pPr>
        <w:ind w:firstLine="480"/>
      </w:pPr>
      <w:r>
        <w:rPr/>
        <w:t>地址：_____________________邮编：_____________________</w:t>
      </w:r>
    </w:p>
    <w:p>
      <w:pPr>
        <w:ind w:firstLine="480"/>
      </w:pPr>
      <w:r>
        <w:rPr/>
        <w:t>联系：_____________________联系电话：_________________</w:t>
      </w:r>
    </w:p>
    <w:p>
      <w:pPr>
        <w:ind w:firstLine="480"/>
      </w:pPr>
      <w:r>
        <w:rPr/>
        <w:t>授权代表：_____________________</w:t>
      </w:r>
    </w:p>
    <w:p>
      <w:pPr>
        <w:ind w:firstLine="480"/>
      </w:pPr>
      <w:r>
        <w:rPr/>
        <w:t>联系电话：_____________________</w:t>
      </w:r>
    </w:p>
    <w:p>
      <w:pPr>
        <w:ind w:firstLine="480"/>
      </w:pPr>
      <w:r>
        <w:rPr/>
        <w:t>地址：_____________________邮编：_____________________</w:t>
      </w:r>
    </w:p>
    <w:p>
      <w:pPr>
        <w:ind w:firstLine="480"/>
      </w:pPr>
      <w:r>
        <w:rPr/>
        <w:t>二、质疑项目基本情况</w:t>
      </w:r>
    </w:p>
    <w:p>
      <w:pPr>
        <w:ind w:firstLine="480"/>
      </w:pPr>
      <w:r>
        <w:rPr/>
        <w:t>质疑项目的名称：_____________________</w:t>
      </w:r>
    </w:p>
    <w:p>
      <w:pPr>
        <w:ind w:firstLine="480"/>
      </w:pPr>
      <w:r>
        <w:rPr/>
        <w:t>质疑项目的编号：_____________________ 包号：_____________________</w:t>
      </w:r>
    </w:p>
    <w:p>
      <w:pPr>
        <w:ind w:firstLine="480"/>
      </w:pPr>
      <w:r>
        <w:rPr/>
        <w:t>采购人名称：_____________________</w:t>
      </w:r>
    </w:p>
    <w:p>
      <w:pPr>
        <w:ind w:firstLine="480"/>
      </w:pPr>
      <w:r>
        <w:rPr/>
        <w:t>磋商文件获取日期：_____________________</w:t>
      </w:r>
    </w:p>
    <w:p>
      <w:pPr>
        <w:ind w:firstLine="480"/>
      </w:pPr>
      <w:r>
        <w:rPr/>
        <w:t>三、质疑事项具体内容</w:t>
      </w:r>
    </w:p>
    <w:p>
      <w:pPr>
        <w:ind w:firstLine="480"/>
      </w:pPr>
      <w:r>
        <w:rPr/>
        <w:t>质疑事项1：_____________________</w:t>
      </w:r>
    </w:p>
    <w:p>
      <w:pPr>
        <w:ind w:firstLine="480"/>
      </w:pPr>
      <w:r>
        <w:rPr/>
        <w:t>事实依据：_____________________</w:t>
      </w:r>
    </w:p>
    <w:p>
      <w:pPr>
        <w:ind w:firstLine="480"/>
      </w:pPr>
      <w:r>
        <w:rPr/>
        <w:t>法律依据：_____________________</w:t>
      </w:r>
    </w:p>
    <w:p>
      <w:pPr>
        <w:ind w:firstLine="480"/>
      </w:pPr>
      <w:r>
        <w:rPr/>
        <w:t>质疑事项2</w:t>
      </w:r>
    </w:p>
    <w:p>
      <w:pPr>
        <w:ind w:firstLine="480"/>
      </w:pPr>
      <w:r>
        <w:rPr/>
        <w:t>……</w:t>
      </w:r>
    </w:p>
    <w:p>
      <w:pPr>
        <w:ind w:firstLine="480"/>
      </w:pPr>
      <w:r>
        <w:rPr/>
        <w:t>四、与质疑事项相关的质疑请求</w:t>
      </w:r>
    </w:p>
    <w:p>
      <w:pPr>
        <w:ind w:firstLine="480"/>
      </w:pPr>
      <w:r>
        <w:rPr/>
        <w:t>请求：</w:t>
      </w:r>
    </w:p>
    <w:p>
      <w:pPr>
        <w:jc w:val="right"/>
      </w:pPr>
      <w:r>
        <w:rPr/>
        <w:t xml:space="preserve"> 签字(签章)：_____________________ 公章：_____________________</w:t>
      </w:r>
    </w:p>
    <w:p>
      <w:pPr>
        <w:jc w:val="right"/>
      </w:pPr>
      <w:r>
        <w:rPr/>
        <w:t>日期：_____________________</w:t>
      </w:r>
    </w:p>
    <w:p>
      <w:pPr>
        <w:ind w:firstLine="480"/>
      </w:pPr>
      <w:r>
        <w:rPr/>
        <w:t>质疑函制作说明：</w:t>
      </w:r>
    </w:p>
    <w:p>
      <w:pPr>
        <w:ind w:firstLine="480"/>
      </w:pPr>
      <w:r>
        <w:rPr/>
        <w:t>1.供应商提出质疑时，应提交质疑函和必要的证明材料。</w:t>
      </w:r>
    </w:p>
    <w:p>
      <w:pPr>
        <w:ind w:firstLine="480"/>
      </w:pPr>
      <w: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ind w:firstLine="480"/>
      </w:pPr>
      <w:r>
        <w:rPr/>
        <w:t>3.质疑供应商若对项目的某一采购包进行质疑，质疑函中应列明具体分包号。</w:t>
      </w:r>
    </w:p>
    <w:p>
      <w:pPr>
        <w:ind w:firstLine="480"/>
      </w:pPr>
      <w:r>
        <w:rPr/>
        <w:t>4.质疑函的质疑事项应具体、明确，并有必要的事实依据和法律依据。</w:t>
      </w:r>
    </w:p>
    <w:p>
      <w:pPr>
        <w:ind w:firstLine="480"/>
      </w:pPr>
      <w:r>
        <w:rPr/>
        <w:t>5.质疑函的质疑请求应与质疑事项相关。</w:t>
      </w:r>
    </w:p>
    <w:p>
      <w:pPr>
        <w:ind w:firstLine="480"/>
      </w:pPr>
      <w:r>
        <w:rPr/>
        <w:t>6.质疑供应商为自然人的，质疑函应由本人签字；质疑供应商为法人或者其他组织的，质疑函应由法定代表人、主要负责人，或者其授权代表签字或者盖章，并加盖公章。</w:t>
      </w:r>
    </w:p>
    <w:p>
      <w:pPr>
        <w:ind w:firstLine="480"/>
      </w:pPr>
    </w:p>
    <w:p>
      <w:r>
        <w:rPr/>
        <w:t xml:space="preserve"> </w:t>
      </w:r>
    </w:p>
    <w:p/>
    <w:p>
      <w:pPr>
        <w:jc w:val="center"/>
      </w:pPr>
      <w:r>
        <w:rPr>
          <w:b/>
          <w:sz w:val="24"/>
        </w:rPr>
        <w:t>投诉书</w:t>
      </w:r>
    </w:p>
    <w:p>
      <w:pPr>
        <w:ind w:firstLine="480"/>
      </w:pPr>
      <w:r>
        <w:rPr/>
        <w:t>一、投诉相关主体基本情况</w:t>
      </w:r>
    </w:p>
    <w:p>
      <w:pPr>
        <w:ind w:firstLine="480"/>
      </w:pPr>
      <w:r>
        <w:rPr/>
        <w:t>投诉人：____________________</w:t>
      </w:r>
    </w:p>
    <w:p>
      <w:pPr>
        <w:ind w:firstLine="480"/>
      </w:pPr>
      <w:r>
        <w:rPr/>
        <w:t>地 址：____________________邮编：____________________</w:t>
      </w:r>
    </w:p>
    <w:p>
      <w:pPr>
        <w:ind w:firstLine="480"/>
      </w:pPr>
      <w:r>
        <w:rPr/>
        <w:t>法定代表人/主要负责人：____________________</w:t>
      </w:r>
    </w:p>
    <w:p>
      <w:pPr>
        <w:ind w:firstLine="480"/>
      </w:pPr>
      <w:r>
        <w:rPr/>
        <w:t>联系电话：____________________</w:t>
      </w:r>
    </w:p>
    <w:p>
      <w:pPr>
        <w:ind w:firstLine="480"/>
      </w:pPr>
      <w:r>
        <w:rPr/>
        <w:t>授权代表：____________________联系电话：____________________</w:t>
      </w:r>
    </w:p>
    <w:p>
      <w:pPr>
        <w:ind w:firstLine="480"/>
      </w:pPr>
      <w:r>
        <w:rPr/>
        <w:t>地 址：____________________邮编：____________________</w:t>
      </w:r>
    </w:p>
    <w:p>
      <w:pPr>
        <w:ind w:firstLine="480"/>
      </w:pPr>
      <w:r>
        <w:rPr/>
        <w:t>被投诉人1：____________________</w:t>
      </w:r>
    </w:p>
    <w:p>
      <w:pPr>
        <w:ind w:firstLine="480"/>
      </w:pPr>
      <w:r>
        <w:rPr/>
        <w:t>地址：____________________邮编：____________________</w:t>
      </w:r>
    </w:p>
    <w:p>
      <w:pPr>
        <w:ind w:firstLine="480"/>
      </w:pPr>
      <w:r>
        <w:rPr/>
        <w:t>联系人：____________________联系电话：____________________</w:t>
      </w:r>
    </w:p>
    <w:p>
      <w:pPr>
        <w:ind w:firstLine="480"/>
      </w:pPr>
      <w:r>
        <w:rPr/>
        <w:t>被投诉人2：____________________</w:t>
      </w:r>
    </w:p>
    <w:p>
      <w:pPr>
        <w:ind w:firstLine="480"/>
      </w:pPr>
      <w:r>
        <w:rPr/>
        <w:t>……</w:t>
      </w:r>
    </w:p>
    <w:p>
      <w:pPr>
        <w:ind w:firstLine="480"/>
      </w:pPr>
      <w:r>
        <w:rPr/>
        <w:t>相关供应商：</w:t>
      </w:r>
    </w:p>
    <w:p>
      <w:pPr>
        <w:ind w:firstLine="480"/>
      </w:pPr>
      <w:r>
        <w:rPr/>
        <w:t>地址：____________________邮编：____________________</w:t>
      </w:r>
    </w:p>
    <w:p>
      <w:pPr>
        <w:ind w:firstLine="480"/>
      </w:pPr>
      <w:r>
        <w:rPr/>
        <w:t>联系人：____________________联系电话：____________________</w:t>
      </w:r>
    </w:p>
    <w:p>
      <w:pPr>
        <w:ind w:firstLine="480"/>
      </w:pPr>
      <w:r>
        <w:rPr/>
        <w:t>二、投诉项目基本情况</w:t>
      </w:r>
    </w:p>
    <w:p>
      <w:pPr>
        <w:ind w:firstLine="480"/>
      </w:pPr>
      <w:r>
        <w:rPr/>
        <w:t>采购项目名称：____________________</w:t>
      </w:r>
    </w:p>
    <w:p>
      <w:pPr>
        <w:ind w:firstLine="480"/>
      </w:pPr>
      <w:r>
        <w:rPr/>
        <w:t>采购项目编号： ____________________包号：____________________</w:t>
      </w:r>
    </w:p>
    <w:p>
      <w:pPr>
        <w:ind w:firstLine="480"/>
      </w:pPr>
      <w:r>
        <w:rPr/>
        <w:t>采购人名称：____________________</w:t>
      </w:r>
    </w:p>
    <w:p>
      <w:pPr>
        <w:ind w:firstLine="480"/>
      </w:pPr>
      <w:r>
        <w:rPr/>
        <w:t>代理机构名称：____________________</w:t>
      </w:r>
    </w:p>
    <w:p>
      <w:pPr>
        <w:ind w:firstLine="480"/>
      </w:pPr>
      <w:r>
        <w:rPr/>
        <w:t>磋商文件公告:</w:t>
      </w:r>
      <w:r>
        <w:rPr>
          <w:u w:val="single"/>
        </w:rPr>
        <w:t>是/否</w:t>
      </w:r>
      <w:r>
        <w:rPr/>
        <w:t>公告期限：</w:t>
      </w:r>
    </w:p>
    <w:p>
      <w:pPr>
        <w:ind w:firstLine="480"/>
      </w:pPr>
      <w:r>
        <w:rPr/>
        <w:t>采购结果公告:</w:t>
      </w:r>
      <w:r>
        <w:rPr>
          <w:u w:val="single"/>
        </w:rPr>
        <w:t>是/否</w:t>
      </w:r>
      <w:r>
        <w:rPr/>
        <w:t>公告期限：</w:t>
      </w:r>
    </w:p>
    <w:p>
      <w:pPr>
        <w:ind w:firstLine="480"/>
      </w:pPr>
      <w:r>
        <w:rPr/>
        <w:t>三、质疑基本情况</w:t>
      </w:r>
    </w:p>
    <w:p>
      <w:pPr>
        <w:ind w:firstLine="480"/>
      </w:pPr>
      <w:r>
        <w:rPr/>
        <w:t>投诉人于 ____年____月____日,向____________________提出质疑，质疑事项为：________________________________________</w:t>
      </w:r>
    </w:p>
    <w:p>
      <w:pPr>
        <w:ind w:firstLine="480"/>
      </w:pPr>
      <w:r>
        <w:rPr>
          <w:u w:val="single"/>
        </w:rPr>
        <w:t>采购人/代理机构</w:t>
      </w:r>
      <w:r>
        <w:rPr/>
        <w:t>于____年____月____日,就质疑事项作出了答复/没有在法定期限内作出答复。</w:t>
      </w:r>
    </w:p>
    <w:p>
      <w:pPr>
        <w:ind w:firstLine="480"/>
      </w:pPr>
      <w:r>
        <w:rPr/>
        <w:t>四、投诉事项具体内容</w:t>
      </w:r>
    </w:p>
    <w:p>
      <w:pPr>
        <w:ind w:firstLine="480"/>
      </w:pPr>
      <w:r>
        <w:rPr/>
        <w:t>投诉事项1：____________________</w:t>
      </w:r>
    </w:p>
    <w:p>
      <w:pPr>
        <w:ind w:firstLine="480"/>
      </w:pPr>
      <w:r>
        <w:rPr/>
        <w:t>事实依据：____________________</w:t>
      </w:r>
    </w:p>
    <w:p>
      <w:pPr>
        <w:ind w:firstLine="480"/>
      </w:pPr>
      <w:r>
        <w:rPr/>
        <w:t>法律依据：____________________</w:t>
      </w:r>
    </w:p>
    <w:p>
      <w:pPr>
        <w:ind w:firstLine="480"/>
      </w:pPr>
      <w:r>
        <w:rPr/>
        <w:t>投诉事项2</w:t>
      </w:r>
    </w:p>
    <w:p>
      <w:pPr>
        <w:ind w:firstLine="480"/>
      </w:pPr>
      <w:r>
        <w:rPr/>
        <w:t>……</w:t>
      </w:r>
    </w:p>
    <w:p>
      <w:pPr>
        <w:ind w:firstLine="480"/>
      </w:pPr>
      <w:r>
        <w:rPr/>
        <w:t>五、与投诉事项相关的投诉请求</w:t>
      </w:r>
    </w:p>
    <w:p>
      <w:pPr>
        <w:ind w:firstLine="480"/>
      </w:pPr>
      <w:r>
        <w:rPr/>
        <w:t>请求：________________________</w:t>
      </w:r>
    </w:p>
    <w:p>
      <w:pPr>
        <w:ind w:firstLine="480"/>
      </w:pPr>
    </w:p>
    <w:p>
      <w:pPr>
        <w:jc w:val="right"/>
      </w:pPr>
      <w:r>
        <w:rPr/>
        <w:t>签字(签章)：_________公章________</w:t>
      </w:r>
    </w:p>
    <w:p>
      <w:pPr>
        <w:jc w:val="right"/>
      </w:pPr>
      <w:r>
        <w:rPr/>
        <w:t>日期：_____________________</w:t>
      </w:r>
    </w:p>
    <w:p>
      <w:pPr>
        <w:ind w:firstLine="480"/>
      </w:pPr>
    </w:p>
    <w:p>
      <w:pPr>
        <w:ind w:firstLine="480"/>
      </w:pPr>
      <w:r>
        <w:rPr/>
        <w:t>投诉书制作说明：</w:t>
      </w:r>
    </w:p>
    <w:p>
      <w:pPr>
        <w:ind w:firstLine="480"/>
      </w:pPr>
      <w:r>
        <w:rPr/>
        <w:t>1.投诉人提起投诉时，应当提交投诉书和必要的证明材料，并按照被投诉人和与投诉事项有关的供应商数量提供投诉书副本。</w:t>
      </w:r>
    </w:p>
    <w:p>
      <w:pPr>
        <w:ind w:firstLine="480"/>
      </w:pPr>
      <w:r>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ind w:firstLine="480"/>
      </w:pPr>
      <w:r>
        <w:rPr/>
        <w:t>3.投诉人若对项目的某一分包进行投诉，投诉书应列明具体分包号。</w:t>
      </w:r>
    </w:p>
    <w:p>
      <w:pPr>
        <w:ind w:firstLine="480"/>
      </w:pPr>
      <w:r>
        <w:rPr/>
        <w:t>4.投诉书应简要列明质疑事项，质疑函、质疑答复等作为附件材料提供。</w:t>
      </w:r>
    </w:p>
    <w:p>
      <w:pPr>
        <w:ind w:firstLine="480"/>
      </w:pPr>
      <w:r>
        <w:rPr/>
        <w:t>5.投诉书的投诉事项应具体、明确，并有必要的事实依据和法律依据。</w:t>
      </w:r>
    </w:p>
    <w:p>
      <w:pPr>
        <w:ind w:firstLine="480"/>
      </w:pPr>
      <w:r>
        <w:rPr/>
        <w:t>6.投诉书的投诉请求应与投诉事项相关。</w:t>
      </w:r>
    </w:p>
    <w:p>
      <w:pPr>
        <w:ind w:firstLine="480"/>
      </w:pPr>
      <w:r>
        <w:rPr/>
        <w:t>7.投诉人为自然人的，投诉书应当由本人签字；投诉人为法人或者其他组织的，投诉书应当由法定代表人、主要负责人，或者其授权代表签字或者盖章，并加盖公章。</w:t>
      </w:r>
    </w:p>
    <w:p>
      <w:pPr>
        <w:ind w:firstLine="480"/>
      </w:pPr>
    </w:p>
    <w:p>
      <w:r>
        <w:rPr/>
        <w:t xml:space="preserve"> </w:t>
      </w:r>
    </w:p>
    <w:p/>
    <w:p>
      <w:r>
        <w:rPr>
          <w:b/>
          <w:sz w:val="28"/>
        </w:rPr>
        <w:t>格式二十三：</w:t>
      </w:r>
    </w:p>
    <w:p>
      <w:pPr>
        <w:ind w:firstLine="480"/>
      </w:pPr>
      <w:r>
        <w:rPr/>
        <w:t>项目实施方案、质量保证及售后服务承诺等内容和格式自拟。</w:t>
      </w:r>
    </w:p>
    <w:p>
      <w:pPr>
        <w:ind w:firstLine="480"/>
      </w:pPr>
    </w:p>
    <w:p>
      <w:r>
        <w:rPr/>
        <w:t xml:space="preserve"> </w:t>
      </w:r>
    </w:p>
    <w:p/>
    <w:p>
      <w:r>
        <w:rPr>
          <w:b/>
          <w:sz w:val="28"/>
        </w:rPr>
        <w:t>格式二十四：</w:t>
      </w:r>
    </w:p>
    <w:p>
      <w:pPr>
        <w:ind w:firstLine="480"/>
      </w:pPr>
      <w:r>
        <w:rPr/>
        <w:t>附件（以下格式文件由供应商根据需要选用）</w:t>
      </w:r>
    </w:p>
    <w:p>
      <w:pPr>
        <w:jc w:val="center"/>
      </w:pPr>
      <w:r>
        <w:rPr>
          <w:b/>
          <w:sz w:val="24"/>
        </w:rPr>
        <w:t>政府采购投标（响应）担保函</w:t>
      </w:r>
    </w:p>
    <w:p>
      <w:pPr>
        <w:jc w:val="right"/>
      </w:pPr>
      <w:r>
        <w:rPr/>
        <w:t>编号：【】号</w:t>
      </w:r>
    </w:p>
    <w:p>
      <w:pPr>
        <w:ind w:firstLine="480"/>
      </w:pPr>
      <w:r>
        <w:rPr/>
        <w:t>（采购人）：</w:t>
      </w:r>
    </w:p>
    <w:p>
      <w:pPr>
        <w:ind w:firstLine="480"/>
      </w:pPr>
      <w:r>
        <w:rPr/>
        <w:t>鉴于__________（以下简称“投标（响应）人”）拟参加编号为__________的（以下简称“本项目”）投标（响应），根据本项目采购文件，投标（响应）人参加投标（响应）时应向你方交纳投标（响应）保证金，且可以投标（响应）担保函的形式交纳投标（响应）保证金。应投标（响应）人的申请，我方以保证的方式向你方提供如下投标（响应）保证金担保：</w:t>
      </w:r>
    </w:p>
    <w:p>
      <w:pPr>
        <w:ind w:firstLine="480"/>
      </w:pPr>
      <w:r>
        <w:rPr/>
        <w:t>一、保证责任的情形及保证金额</w:t>
      </w:r>
    </w:p>
    <w:p>
      <w:pPr>
        <w:ind w:firstLine="480"/>
      </w:pPr>
      <w:r>
        <w:rPr/>
        <w:t>（一）在投标（响应）人出现下列情形之一时，我方承担保证责任：</w:t>
      </w:r>
    </w:p>
    <w:p>
      <w:pPr>
        <w:ind w:firstLine="480"/>
      </w:pPr>
      <w:r>
        <w:rPr/>
        <w:t>1.中标（成交）后投标（响应）人无正当理由不与采购人签订《政府采购合同》；</w:t>
      </w:r>
    </w:p>
    <w:p>
      <w:pPr>
        <w:ind w:firstLine="480"/>
      </w:pPr>
      <w:r>
        <w:rPr/>
        <w:t>2.采购文件规定的投标（响应）人应当缴纳保证金的其他情形。</w:t>
      </w:r>
    </w:p>
    <w:p>
      <w:pPr>
        <w:ind w:firstLine="480"/>
      </w:pPr>
      <w:r>
        <w:rPr/>
        <w:t>（二）我方承担保证责任的最高金额为人民币__________元（大写）即本项目的投标（响应）保证金金额。</w:t>
      </w:r>
    </w:p>
    <w:p>
      <w:pPr>
        <w:ind w:firstLine="480"/>
      </w:pPr>
      <w:r>
        <w:rPr/>
        <w:t>二、保证的方式及保证期间</w:t>
      </w:r>
    </w:p>
    <w:p>
      <w:pPr>
        <w:ind w:firstLine="480"/>
      </w:pPr>
      <w:r>
        <w:rPr/>
        <w:t>我方保证的方式为：连带责任保证。</w:t>
      </w:r>
    </w:p>
    <w:p>
      <w:pPr>
        <w:ind w:firstLine="480"/>
      </w:pPr>
      <w:r>
        <w:rPr/>
        <w:t>我方的保证期间为：本保函自__年__月__日起生效，有效期至开标日后的90天内。</w:t>
      </w:r>
    </w:p>
    <w:p>
      <w:pPr>
        <w:ind w:firstLine="480"/>
      </w:pPr>
      <w:r>
        <w:rPr/>
        <w:t>三、承担保证责任的程序</w:t>
      </w:r>
    </w:p>
    <w:p>
      <w:pPr>
        <w:ind w:firstLine="480"/>
      </w:pPr>
      <w:r>
        <w:rPr/>
        <w:t>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ind w:firstLine="480"/>
      </w:pPr>
      <w:r>
        <w:rPr/>
        <w:t>2.我方在收到索赔通知及相关证明材料后，在15个工作日内进行审查，符合应承担保证责任情形的，我方按照你方的要求代投标（响应）人向你方支付相应的索赔款项。</w:t>
      </w:r>
    </w:p>
    <w:p>
      <w:pPr>
        <w:ind w:firstLine="480"/>
      </w:pPr>
      <w:r>
        <w:rPr/>
        <w:t>四、保证责任的终止</w:t>
      </w:r>
    </w:p>
    <w:p>
      <w:pPr>
        <w:ind w:firstLine="480"/>
      </w:pPr>
      <w:r>
        <w:rPr/>
        <w:t>1.保证期间届满，你方未向我方书面主张保证责任的，自保证期间届满次日起，我方保证责任自动终止。</w:t>
      </w:r>
    </w:p>
    <w:p>
      <w:pPr>
        <w:ind w:firstLine="480"/>
      </w:pPr>
      <w:r>
        <w:rPr/>
        <w:t>2.我方按照本保函向你方履行了保证责任后，自我方向你方支付款项（支付款项从我方账户划出）之日起，保证责任终止。</w:t>
      </w:r>
    </w:p>
    <w:p>
      <w:pPr>
        <w:ind w:firstLine="480"/>
      </w:pPr>
      <w:r>
        <w:rPr/>
        <w:t>3.按照法律法规的规定或出现我方保证责任终止的其它情形的，我方在本保函项下的保证责任终止。</w:t>
      </w:r>
    </w:p>
    <w:p>
      <w:pPr>
        <w:ind w:firstLine="480"/>
      </w:pPr>
      <w:r>
        <w:rPr/>
        <w:t>五、免责条款</w:t>
      </w:r>
    </w:p>
    <w:p>
      <w:pPr>
        <w:ind w:firstLine="480"/>
      </w:pPr>
      <w:r>
        <w:rPr/>
        <w:t>1.依照法律规定或你方与投标（响应）人的另行约定，全部或者部分免除投标（响应）人投标（响应）保证金义务时，我方亦免除相应的保证责任。</w:t>
      </w:r>
    </w:p>
    <w:p>
      <w:pPr>
        <w:ind w:firstLine="480"/>
      </w:pPr>
      <w:r>
        <w:rPr/>
        <w:t>2.因你方原因致使投标（响应）人发生本保函第一条第（一）款约定情形的，我方不承担保证责任。</w:t>
      </w:r>
    </w:p>
    <w:p>
      <w:pPr>
        <w:ind w:firstLine="480"/>
      </w:pPr>
      <w:r>
        <w:rPr/>
        <w:t>3.因不可抗力造成投标（响应）人发生本保函第一条约定情形的，我方不承担保证责任。</w:t>
      </w:r>
    </w:p>
    <w:p>
      <w:pPr>
        <w:ind w:firstLine="480"/>
      </w:pPr>
      <w:r>
        <w:rPr/>
        <w:t>4.你方或其他有权机关对采购文件进行任何澄清或修改，加重我方保证责任的，我方对加重部分不承担保证责任，但该澄清或修改经我方事先书面同意的除外。</w:t>
      </w:r>
    </w:p>
    <w:p>
      <w:pPr>
        <w:ind w:firstLine="480"/>
      </w:pPr>
      <w:r>
        <w:rPr/>
        <w:t>六、争议的解决</w:t>
      </w:r>
    </w:p>
    <w:p>
      <w:pPr>
        <w:ind w:firstLine="480"/>
      </w:pPr>
      <w:r>
        <w:rPr/>
        <w:t>因本保函发生的纠纷，由你我双方协商解决，协商不成的，通过诉讼程序解决，诉讼管辖地法院为________法院。</w:t>
      </w:r>
    </w:p>
    <w:p>
      <w:pPr>
        <w:ind w:firstLine="480"/>
      </w:pPr>
      <w:r>
        <w:rPr/>
        <w:t>七、保函的生效</w:t>
      </w:r>
    </w:p>
    <w:p>
      <w:pPr>
        <w:ind w:firstLine="480"/>
      </w:pPr>
      <w:r>
        <w:rPr/>
        <w:t>本保函自我方加盖公章之日起生效。</w:t>
      </w:r>
    </w:p>
    <w:p>
      <w:pPr>
        <w:ind w:firstLine="480"/>
      </w:pPr>
    </w:p>
    <w:p>
      <w:pPr>
        <w:jc w:val="right"/>
      </w:pPr>
      <w:r>
        <w:rPr/>
        <w:t>保证人：_______（公章）_______</w:t>
      </w:r>
    </w:p>
    <w:p>
      <w:pPr>
        <w:jc w:val="right"/>
      </w:pPr>
      <w:r>
        <w:rPr/>
        <w:t>联系人：________________联系电话：_______________</w:t>
      </w:r>
    </w:p>
    <w:p>
      <w:pPr>
        <w:jc w:val="right"/>
      </w:pPr>
      <w:r>
        <w:rPr/>
        <w:t>___年___月___日</w:t>
      </w:r>
    </w:p>
    <w:p>
      <w:pPr>
        <w:rPr>
          <w:rFonts w:hint="eastAsia"/>
          <w:lang w:val="en-US" w:eastAsia="zh-Hans"/>
        </w:rPr>
      </w:pPr>
      <w:r>
        <w:rPr/>
      </w: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