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445301-2023-00647</w:t>
      </w:r>
    </w:p>
    <w:p>
      <w:pPr>
        <w:jc w:val="center"/>
      </w:pPr>
      <w:r>
        <w:rPr>
          <w:b/>
          <w:sz w:val="24"/>
        </w:rPr>
        <w:t>采购项目编号：</w:t>
      </w:r>
      <w:r>
        <w:rPr>
          <w:b/>
          <w:sz w:val="24"/>
        </w:rPr>
        <w:t>445301-2023-00647</w:t>
      </w:r>
    </w:p>
    <w:p>
      <w:pPr>
        <w:jc w:val="center"/>
      </w:pPr>
      <w:r>
        <w:rPr>
          <w:b/>
          <w:sz w:val="24"/>
        </w:rPr>
        <w:t>项目名称：</w:t>
      </w:r>
      <w:r>
        <w:rPr>
          <w:b/>
          <w:sz w:val="24"/>
        </w:rPr>
        <w:t>云浮市政务服务大厅窗口统一办事呼叫、评价设备购买和运维（2023-2024年）项目</w:t>
      </w:r>
    </w:p>
    <w:p>
      <w:pPr>
        <w:jc w:val="center"/>
      </w:pPr>
      <w:r>
        <w:rPr>
          <w:b/>
          <w:sz w:val="24"/>
        </w:rPr>
        <w:t>采购人：</w:t>
      </w:r>
      <w:r>
        <w:rPr>
          <w:b/>
          <w:sz w:val="24"/>
        </w:rPr>
        <w:t>云浮市人民政府行政服务中心</w:t>
      </w:r>
    </w:p>
    <w:p>
      <w:pPr>
        <w:jc w:val="center"/>
      </w:pPr>
      <w:r>
        <w:rPr>
          <w:b/>
          <w:sz w:val="24"/>
        </w:rPr>
        <w:t>采购代理机构：</w:t>
      </w:r>
      <w:r>
        <w:rPr>
          <w:b/>
          <w:sz w:val="24"/>
        </w:rPr>
        <w:t>云浮市国御招标代理有限公司</w:t>
      </w:r>
    </w:p>
    <w:p>
      <w:pPr>
        <w:ind w:firstLine="480"/>
      </w:pPr>
    </w:p>
    <w:p>
      <w:r>
        <w:rPr/>
        <w:t xml:space="preserve"> </w:t>
      </w:r>
    </w:p>
    <w:p/>
    <w:p>
      <w:pPr>
        <w:jc w:val="center"/>
      </w:pPr>
      <w:r>
        <w:rPr>
          <w:b/>
          <w:sz w:val="36"/>
        </w:rPr>
        <w:t>第一章 磋商邀请</w:t>
      </w:r>
    </w:p>
    <w:p>
      <w:pPr>
        <w:ind w:firstLine="480"/>
      </w:pPr>
      <w:r>
        <w:rPr/>
        <w:t>云浮市国御招标代理有限公司</w:t>
      </w:r>
      <w:r>
        <w:rPr/>
        <w:t>受</w:t>
      </w:r>
      <w:r>
        <w:rPr/>
        <w:t>云浮市人民政府行政服务中心</w:t>
      </w:r>
      <w:r>
        <w:rPr/>
        <w:t>的委托，采用</w:t>
      </w:r>
      <w:r>
        <w:rPr/>
        <w:t>竞争性磋商</w:t>
      </w:r>
      <w:r>
        <w:rPr/>
        <w:t>方式组织采购</w:t>
      </w:r>
      <w:r>
        <w:rPr/>
        <w:t>云浮市政务服务大厅窗口统一办事呼叫、评价设备购买和运维（2023-2024年）项目</w:t>
      </w:r>
      <w:r>
        <w:rPr/>
        <w:t>。欢迎符合资格条件的供应商参加。</w:t>
      </w:r>
    </w:p>
    <w:p>
      <w:r>
        <w:rPr>
          <w:b/>
          <w:sz w:val="28"/>
        </w:rPr>
        <w:t>一.项目概述</w:t>
      </w:r>
    </w:p>
    <w:p>
      <w:r>
        <w:rPr>
          <w:b/>
          <w:sz w:val="24"/>
        </w:rPr>
        <w:t>1.名称与编号</w:t>
      </w:r>
    </w:p>
    <w:p>
      <w:pPr>
        <w:ind w:firstLine="480"/>
      </w:pPr>
      <w:r>
        <w:rPr/>
        <w:t>采购项目名称：</w:t>
      </w:r>
      <w:r>
        <w:rPr/>
        <w:t>云浮市政务服务大厅窗口统一办事呼叫、评价设备购买和运维（2023-2024年）项目</w:t>
      </w:r>
    </w:p>
    <w:p>
      <w:pPr>
        <w:ind w:firstLine="480"/>
      </w:pPr>
      <w:r>
        <w:rPr/>
        <w:t>采购计划编号：</w:t>
      </w:r>
      <w:r>
        <w:rPr/>
        <w:t>445301-2023-00647</w:t>
      </w:r>
    </w:p>
    <w:p>
      <w:pPr>
        <w:ind w:firstLine="480"/>
      </w:pPr>
      <w:r>
        <w:rPr/>
        <w:t>采购项目编号：</w:t>
      </w:r>
      <w:r>
        <w:rPr/>
        <w:t>445301-2023-00647</w:t>
      </w:r>
    </w:p>
    <w:p>
      <w:pPr>
        <w:ind w:firstLine="480"/>
      </w:pPr>
      <w:r>
        <w:rPr/>
        <w:t>采购方式：</w:t>
      </w:r>
      <w:r>
        <w:rPr/>
        <w:t>竞争性磋商</w:t>
      </w:r>
    </w:p>
    <w:p>
      <w:pPr>
        <w:ind w:firstLine="480"/>
      </w:pPr>
      <w:r>
        <w:rPr/>
        <w:t>预算金额：</w:t>
      </w:r>
      <w:r>
        <w:rPr/>
        <w:t>1,894,200.00</w:t>
      </w:r>
      <w:r>
        <w:rPr/>
        <w:t>元</w:t>
      </w:r>
    </w:p>
    <w:p>
      <w:r>
        <w:rPr>
          <w:b/>
          <w:sz w:val="24"/>
        </w:rPr>
        <w:t>2.项目内容及需求情况（采购项目技术规格、参数及要求）</w:t>
      </w:r>
    </w:p>
    <w:p>
      <w:pPr>
        <w:ind w:firstLine="480"/>
      </w:pPr>
    </w:p>
    <w:p/>
    <w:p>
      <w:r>
        <w:rPr/>
        <w:t>采购包1(云浮市政务服务大厅窗口统一办事呼叫、评价设备购买和运维（2023-2024年）项目):</w:t>
      </w:r>
    </w:p>
    <w:p>
      <w:r>
        <w:rPr/>
        <w:t>采购包预算金额：1,894,200.00元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其他信息技术服务</w:t>
            </w:r>
          </w:p>
        </w:tc>
        <w:tc>
          <w:tcPr>
            <w:tcW w:type="dxa" w:w="2052"/>
          </w:tcPr>
          <w:p>
            <w:r>
              <w:rPr/>
              <w:t>云浮市政务服务大厅窗口统一办事呼叫、评价设备购买和运维（2023-2024年）项目</w:t>
            </w:r>
          </w:p>
        </w:tc>
        <w:tc>
          <w:tcPr>
            <w:tcW w:type="dxa" w:w="977"/>
          </w:tcPr>
          <w:p>
            <w:r>
              <w:rPr/>
              <w:t>1(项)</w:t>
            </w:r>
          </w:p>
        </w:tc>
        <w:tc>
          <w:tcPr>
            <w:tcW w:type="dxa" w:w="977"/>
          </w:tcPr>
          <w:p>
            <w:r>
              <w:rPr/>
              <w:t>详见第二章</w:t>
            </w:r>
          </w:p>
        </w:tc>
        <w:tc>
          <w:tcPr>
            <w:tcW w:type="dxa" w:w="977"/>
          </w:tcPr>
          <w:p>
            <w:r>
              <w:rPr/>
              <w:t>1,894,200.00</w:t>
            </w:r>
          </w:p>
        </w:tc>
        <w:tc>
          <w:tcPr>
            <w:tcW w:type="dxa" w:w="977"/>
          </w:tcPr>
          <w:p>
            <w:r>
              <w:rPr/>
              <w:t>否</w:t>
            </w:r>
          </w:p>
        </w:tc>
      </w:tr>
    </w:tbl>
    <w:p/>
    <w:p>
      <w:r>
        <w:rPr/>
        <w:t>本采购包不接受联合体响应</w:t>
      </w:r>
    </w:p>
    <w:p/>
    <w:p>
      <w:r>
        <w:rPr/>
        <w:t>合同履行期限：自合同签订之日到运维服务期结束（3年），自合同签订生效起 90 天内完成设备安装及调试。</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2）有依法缴纳税收和社会保障资金的良好记录：提供《资格承诺函》，格式自拟</w:t>
      </w:r>
    </w:p>
    <w:p/>
    <w:p>
      <w:r>
        <w:rPr/>
        <w:t>3）具有良好的商业信誉和健全的财务会计制度：提供《资格承诺函》，格式自拟</w:t>
      </w:r>
    </w:p>
    <w:p/>
    <w:p>
      <w:r>
        <w:rPr/>
        <w:t>4）履行合同所必需的设备和专业技术能力：提供《资格承诺函》，格式自拟</w:t>
      </w:r>
    </w:p>
    <w:p/>
    <w:p>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采购包1（云浮市政务服务大厅窗口统一办事呼叫、评价设备购买和运维（2023-2024年）项目）：</w:t>
      </w:r>
      <w:r>
        <w:rPr/>
        <w:t>本项目属于专门面向中小企业采购的项目。</w:t>
      </w:r>
      <w:r>
        <w:rPr/>
        <w:t>软件和信息技术服务业。</w:t>
      </w:r>
    </w:p>
    <w:p/>
    <w:p>
      <w:r>
        <w:rPr>
          <w:b/>
          <w:sz w:val="24"/>
        </w:rPr>
        <w:t>3.本项目特定的资格要求：</w:t>
      </w:r>
    </w:p>
    <w:p>
      <w:pPr>
        <w:ind w:firstLine="480"/>
      </w:pPr>
    </w:p>
    <w:p/>
    <w:p>
      <w:r>
        <w:rPr/>
        <w:t>采购包1（云浮市政务服务大厅窗口统一办事呼叫、评价设备购买和运维（2023-2024年）项目）：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
      <w:r>
        <w:rPr/>
        <w:t>3)本项目不接受联合体投标</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r>
        <w:rPr/>
        <w:t>www.yfgyzb.com</w:t>
      </w:r>
    </w:p>
    <w:p>
      <w:r>
        <w:rPr>
          <w:b/>
          <w:sz w:val="28"/>
        </w:rPr>
        <w:t>六.本项目联系方式：</w:t>
      </w:r>
    </w:p>
    <w:p>
      <w:r>
        <w:rPr>
          <w:b/>
          <w:sz w:val="24"/>
        </w:rPr>
        <w:t>1.采购人信息</w:t>
      </w:r>
    </w:p>
    <w:p>
      <w:pPr>
        <w:ind w:firstLine="480"/>
      </w:pPr>
      <w:r>
        <w:rPr/>
        <w:t>名称：</w:t>
      </w:r>
      <w:r>
        <w:rPr/>
        <w:t>云浮市人民政府行政服务中心</w:t>
      </w:r>
    </w:p>
    <w:p>
      <w:pPr>
        <w:ind w:firstLine="480"/>
      </w:pPr>
      <w:r>
        <w:rPr/>
        <w:t>地址：</w:t>
      </w:r>
      <w:r>
        <w:rPr/>
        <w:t>云浮市云城区城中路111号</w:t>
      </w:r>
    </w:p>
    <w:p>
      <w:pPr>
        <w:ind w:firstLine="480"/>
      </w:pPr>
      <w:r>
        <w:rPr/>
        <w:t>联系方式：</w:t>
      </w:r>
      <w:r>
        <w:rPr/>
        <w:t>0766-8819352</w:t>
      </w:r>
    </w:p>
    <w:p>
      <w:r>
        <w:rPr>
          <w:b/>
          <w:sz w:val="24"/>
        </w:rPr>
        <w:t>2.采购代理机构信息</w:t>
      </w:r>
    </w:p>
    <w:p>
      <w:pPr>
        <w:ind w:firstLine="480"/>
      </w:pPr>
      <w:r>
        <w:rPr/>
        <w:t>名称：</w:t>
      </w:r>
      <w:r>
        <w:rPr/>
        <w:t>云浮市国御招标代理有限公司</w:t>
      </w:r>
    </w:p>
    <w:p>
      <w:pPr>
        <w:ind w:firstLine="480"/>
      </w:pPr>
      <w:r>
        <w:rPr/>
        <w:t>地址：</w:t>
      </w:r>
      <w:r>
        <w:rPr/>
        <w:t>广东省云浮市云城区市区金山大道130号三楼</w:t>
      </w:r>
    </w:p>
    <w:p>
      <w:pPr>
        <w:ind w:firstLine="480"/>
      </w:pPr>
      <w:r>
        <w:rPr/>
        <w:t>联系方式：</w:t>
      </w:r>
      <w:r>
        <w:rPr/>
        <w:t>0766-8108331</w:t>
      </w:r>
    </w:p>
    <w:p>
      <w:r>
        <w:rPr>
          <w:b/>
          <w:sz w:val="24"/>
        </w:rPr>
        <w:t>3.项目联系方式</w:t>
      </w:r>
    </w:p>
    <w:p>
      <w:pPr>
        <w:ind w:firstLine="480"/>
      </w:pPr>
      <w:r>
        <w:rPr/>
        <w:t>项目联系人：</w:t>
      </w:r>
      <w:r>
        <w:rPr/>
        <w:t>罗小姐</w:t>
      </w:r>
    </w:p>
    <w:p>
      <w:pPr>
        <w:ind w:firstLine="480"/>
      </w:pPr>
      <w:r>
        <w:rPr/>
        <w:t>电话：</w:t>
      </w:r>
      <w:r>
        <w:rPr/>
        <w:t>0766-8108331</w:t>
      </w:r>
    </w:p>
    <w:p>
      <w:r>
        <w:rPr>
          <w:b/>
          <w:sz w:val="24"/>
        </w:rPr>
        <w:t>4.技术支持联系方式</w:t>
      </w:r>
    </w:p>
    <w:p>
      <w:pPr>
        <w:ind w:firstLine="480"/>
      </w:pPr>
      <w:r>
        <w:rPr/>
        <w:t>云平台联系方式：020-88696588</w:t>
      </w:r>
    </w:p>
    <w:p>
      <w:r>
        <w:rPr/>
        <w:t>采购代理机构：</w:t>
      </w:r>
      <w:r>
        <w:rPr/>
        <w:t>云浮市国御招标代理有限公司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ind w:firstLine="480"/>
        <w:jc w:val="both"/>
      </w:pPr>
      <w:r>
        <w:rPr>
          <w:sz w:val="24"/>
        </w:rPr>
        <w:t>基于云浮市一体化公共服务平台统一预约、统一叫取号、统一评价的服务体系，推动全市各级政务服务大厅按照统一标准进行设备改造、配置，实现全市标准统一、服务模式统一，打通省、市、县、镇、村数据通道，满足省对云浮市的政务服务办事预约、呼叫、评价数据的全方位、统一标准汇聚、管理要求，并落实运营服务，确保相关监管数据正常传输。</w:t>
      </w:r>
    </w:p>
    <w:p>
      <w:pPr>
        <w:ind w:firstLine="480"/>
        <w:jc w:val="both"/>
      </w:pPr>
      <w:r>
        <w:rPr>
          <w:sz w:val="24"/>
        </w:rPr>
        <w:t>本项目采购范围包括统一排队叫号系统，需与市统一预约系统，市统一评价系统等系统完成对接工作，同时按照市大集中的业务模式，本次实施的</w:t>
      </w:r>
      <w:r>
        <w:rPr>
          <w:sz w:val="24"/>
        </w:rPr>
        <w:t>4个县（市、区）服务中心及试点镇中心均与云浮市一体化公共服务平台实现实时数据交互；预约系统、叫号系统需与硬件设备对接交互，采用实时对接模式，双方数据均实时汇聚到市级统一的服务端，</w:t>
      </w:r>
    </w:p>
    <w:p>
      <w:pPr>
        <w:jc w:val="both"/>
      </w:pPr>
      <w:r>
        <w:rPr>
          <w:sz w:val="24"/>
        </w:rPr>
        <w:t>同时为配合本次项目改造，需在四个县（市、区）行政服务中心部署排队取号机、窗口叫号器、集中显示屏、窗口评价器等硬件设备，以及镇（街）、村级动态二维码评价，以提升各级行政服务中心信息化和数字化服务能力，运营商负责上述产品、配件和软件的安装调试、提供软件运维、硬件质保</w:t>
      </w:r>
      <w:r>
        <w:rPr>
          <w:sz w:val="24"/>
        </w:rPr>
        <w:t>3</w:t>
      </w:r>
      <w:r>
        <w:rPr>
          <w:sz w:val="24"/>
        </w:rPr>
        <w:t>年运营维护技术支持服务</w:t>
      </w:r>
      <w:r>
        <w:rPr>
          <w:sz w:val="24"/>
        </w:rPr>
        <w:t>。</w:t>
      </w:r>
    </w:p>
    <w:p/>
    <w:p>
      <w:pPr>
        <w:ind w:firstLine="480"/>
      </w:pPr>
    </w:p>
    <w:p/>
    <w:p>
      <w:r>
        <w:rPr/>
        <w:t>采购包1（云浮市政务服务大厅窗口统一办事呼叫、评价设备购买和运维（2023-2024年）项目）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自合同签订之日到运维服务期结束（3年），自合同签订生效起 90 天内完成设备安装及调试。</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50%,1.预付款：签订合同后15个工作日内，供应商书面提出申请函及与拟支付金额等额的符合采购人财务管理要求的相应发票，采购人在收到发票并确认后5个工作日内办理第一期款支付手续，支付项目合同金额的50%。</w:t>
            </w:r>
          </w:p>
          <w:p/>
          <w:p>
            <w:r>
              <w:rPr/>
              <w:t>2期：支付比例50%,2.支付比例50%,2.项目完成设备安装及调试，运行良好，功能及性能符合合同要求，通过初验后15个工作日内，供应商提出支付申请函及与拟支付金额等额的符合采购人财务管理要求的相应发票，采购人在收到发票并确认后5个工作日内办理第二期款支付手续，支付项目合同金额的50%。3.对于满足合同约定支付条件的，甲方应当自收到发票后30日内将资金支付到合同约定的乙方账户，不得以机构变动、人员更替、政策调整等为由延迟付款，不得将采购文件和合同中未规定的义务作为向乙方付款的条件。 4.付款时间为采购人向财政部门提出支付申请的时间，不含财政部门审查的时间及预算下达的时间，如因政府财政支付管理流程导致的支付延期，支付期限自动顺延，采购人不承担责任，供应商不得以此为由迟延履行或不履行合同义务。</w:t>
            </w:r>
          </w:p>
        </w:tc>
      </w:tr>
      <w:tr>
        <w:tc>
          <w:tcPr>
            <w:tcW w:type="dxa" w:w="4153"/>
          </w:tcPr>
          <w:p>
            <w:r>
              <w:rPr/>
              <w:t>验收要求</w:t>
            </w:r>
          </w:p>
        </w:tc>
        <w:tc>
          <w:tcPr>
            <w:tcW w:type="dxa" w:w="4153"/>
          </w:tcPr>
          <w:p/>
          <w:p/>
          <w:p/>
          <w:p>
            <w:r>
              <w:rPr/>
              <w:t>1期：1.供应商必须依照招标文件的要求和投标文件的承诺，将设备、系统安装并调试至正常运行的最佳状态。 2.服务期内货物若有国家标准按照国家标准验收，若无国家标准按行业标准验收，为原制造商制造的全新产品，整机无污染，无侵权行为、表面无划损、无任何缺陷隐患，在中国境内可依常规安全合法使用。  3. 服务期内货物为原厂商未启封全新包装，具出厂合格证，序列号、包装箱号与出厂批号一致，并可追索查阅。所有随设备的附件必须齐全。 4.供应商应将关键主机设备的用户手册、保修手册、有关单证资料及配备件、随机工具等交付给采购人，使用操作及安全须知等重要资料应附有中文说明。 5.采购人组成验收小组按国家有关规定、规范进行验收，必要时邀请相关的专业人员或机构参与验收。因货物质量问题发生争议时，由本地质量技术监督部门鉴定。货物符合质量技术标准的，鉴定费由采购人承担；否则鉴定费由供应商承担。</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p/>
          <w:p>
            <w:r>
              <w:rPr/>
              <w:t>其他，1.提供至少3名或以上运维人员组成运维团队，跟据采购人要求进行定期巡场服务。 2.热线电话：提供服务热线电话。 3.应急服务：针对系统突发事件提供7*24小时的应急现场技术支持服务，要求二线工程师在工作时间内1小时内响应，2小时内到达现场，非工作时间内4小时到达现场。提供对所有技术支持、服务请求、故障报修、技术咨询的单点专员联系，同时加强系统的监控、巡检及管理。对所有问题的记录、分派、跟踪和管理、分析和报告。 4.远程服务：可以通过专线电话、网上报修、电子邮件等方式得到工程师技术服务。值班工程师可以实时对用户请求进行处理。包括服务请求、远程故障诊断、技术咨询等服务。 5.巡检服务：工作日每天对信息化系统、网络、服务器等基础架构设备进行安全巡检，提交详细的巡检报告，根据采购人要求定期对参保范围的应用软件进行预防性的检查、维护和优化等工作，提供服务报告及合理化建议，排除系统隐患，确保整个系统的正常运行。</w:t>
            </w:r>
          </w:p>
        </w:tc>
      </w:tr>
    </w:tbl>
    <w:p/>
    <w:p>
      <w:r>
        <w:rPr/>
        <w:t>其他商务需求</w:t>
      </w:r>
    </w:p>
    <w:p/>
    <w:p/>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jc w:val="center"/>
            </w:pPr>
            <w:r>
              <w:rPr/>
              <w:t>参数性质</w:t>
            </w:r>
          </w:p>
        </w:tc>
        <w:tc>
          <w:tcPr>
            <w:tcW w:type="dxa" w:w="2076"/>
          </w:tcPr>
          <w:p>
            <w:pPr>
              <w:jc w:val="center"/>
            </w:pPr>
            <w:r>
              <w:rPr/>
              <w:t>编号</w:t>
            </w:r>
          </w:p>
        </w:tc>
        <w:tc>
          <w:tcPr>
            <w:tcW w:type="dxa" w:w="2076"/>
          </w:tcPr>
          <w:p>
            <w:pPr>
              <w:jc w:val="center"/>
            </w:pPr>
            <w:r>
              <w:rPr/>
              <w:t>内容明细</w:t>
            </w:r>
          </w:p>
        </w:tc>
        <w:tc>
          <w:tcPr>
            <w:tcW w:type="dxa" w:w="2076"/>
          </w:tcPr>
          <w:p>
            <w:pPr>
              <w:jc w:val="center"/>
            </w:pPr>
            <w:r>
              <w:rPr/>
              <w:t>内容说明</w:t>
            </w:r>
          </w:p>
        </w:tc>
      </w:tr>
      <w:tr>
        <w:tc>
          <w:tcPr>
            <w:tcW w:type="dxa" w:w="2076"/>
          </w:tcPr>
          <w:p>
            <w:pPr>
              <w:jc w:val="center"/>
            </w:pPr>
          </w:p>
        </w:tc>
        <w:tc>
          <w:tcPr>
            <w:tcW w:type="dxa" w:w="2076"/>
          </w:tcPr>
          <w:p>
            <w:pPr>
              <w:jc w:val="center"/>
            </w:pPr>
            <w:r>
              <w:rPr/>
              <w:t>1</w:t>
            </w:r>
          </w:p>
        </w:tc>
        <w:tc>
          <w:tcPr>
            <w:tcW w:type="dxa" w:w="2076"/>
          </w:tcPr>
          <w:p>
            <w:pPr>
              <w:jc w:val="left"/>
            </w:pPr>
            <w:r>
              <w:rPr/>
              <w:t>质保期及售后服务要求</w:t>
            </w:r>
          </w:p>
        </w:tc>
        <w:tc>
          <w:tcPr>
            <w:tcW w:type="dxa" w:w="2076"/>
          </w:tcPr>
          <w:p>
            <w:pPr>
              <w:jc w:val="left"/>
            </w:pPr>
            <w:r>
              <w:rPr/>
              <w:t>1.自验收合格后起计算质保期为叁年，质保期内成交人对所供货物实行包修、包换、包退、包维护保养，期满后可同时提供终身(有偿)维修保养服务。 2.质保期内，如设备或零部件因非人为因素出现故障而造成短期停用时，则质保期和免费维修期相应顺延。如停用时间累计超过60天则质保期重新计算。 3.对采购人的服务通知，成交人在接报后1小时内响应，2小时内到达现场，非工作时间内4小时到达现场，48小时内处理完毕。若在48小时内仍未能有效解决，成交人须免费提供同档次的设备予采购人临时使用。</w:t>
            </w:r>
          </w:p>
        </w:tc>
      </w:tr>
      <w:tr>
        <w:tc>
          <w:tcPr>
            <w:tcW w:type="dxa" w:w="2076"/>
          </w:tcPr>
          <w:p>
            <w:pPr>
              <w:jc w:val="center"/>
            </w:pPr>
          </w:p>
        </w:tc>
        <w:tc>
          <w:tcPr>
            <w:tcW w:type="dxa" w:w="2076"/>
          </w:tcPr>
          <w:p>
            <w:pPr>
              <w:jc w:val="center"/>
            </w:pPr>
            <w:r>
              <w:rPr/>
              <w:t>2</w:t>
            </w:r>
          </w:p>
        </w:tc>
        <w:tc>
          <w:tcPr>
            <w:tcW w:type="dxa" w:w="2076"/>
          </w:tcPr>
          <w:p>
            <w:pPr>
              <w:jc w:val="left"/>
            </w:pPr>
            <w:r>
              <w:rPr/>
              <w:t>包装、保险及发运、保管要求</w:t>
            </w:r>
          </w:p>
        </w:tc>
        <w:tc>
          <w:tcPr>
            <w:tcW w:type="dxa" w:w="2076"/>
          </w:tcPr>
          <w:p>
            <w:pPr>
              <w:jc w:val="left"/>
            </w:pPr>
            <w:r>
              <w:rPr/>
              <w:t>1.设备材料的包装必须是制造商原厂包装，其包装均应有良好的防湿、防锈、防潮、防雨、防腐及防碰撞的措施。凡由于包装不良造成的损失和由此产生的费用均由投标人承担。 2.成交人负责将设备材料货到现场过程中的全部运输，包括装卸车、货物现场的搬运。 3.各种设备必须提供装箱清单，按装箱清单验收货物。 4.货物在现场的保管由成交人负责，直至项目安装、验收完毕。 5.货物在系统安装调试验收合格前的保险由成交人负责，成交人负责其派出的现场服务人员人身意外保险。 6.设备至采购人指定的使用现场的包装、保险及发运等环节和费用均由成交人负责。</w:t>
            </w:r>
          </w:p>
        </w:tc>
      </w:tr>
      <w:tr>
        <w:tc>
          <w:tcPr>
            <w:tcW w:type="dxa" w:w="2076"/>
          </w:tcPr>
          <w:p>
            <w:pPr>
              <w:jc w:val="center"/>
            </w:pPr>
          </w:p>
        </w:tc>
        <w:tc>
          <w:tcPr>
            <w:tcW w:type="dxa" w:w="2076"/>
          </w:tcPr>
          <w:p>
            <w:pPr>
              <w:jc w:val="center"/>
            </w:pPr>
            <w:r>
              <w:rPr/>
              <w:t>3</w:t>
            </w:r>
          </w:p>
        </w:tc>
        <w:tc>
          <w:tcPr>
            <w:tcW w:type="dxa" w:w="2076"/>
          </w:tcPr>
          <w:p>
            <w:pPr>
              <w:jc w:val="left"/>
            </w:pPr>
            <w:r>
              <w:rPr/>
              <w:t>安装、调试</w:t>
            </w:r>
          </w:p>
        </w:tc>
        <w:tc>
          <w:tcPr>
            <w:tcW w:type="dxa" w:w="2076"/>
          </w:tcPr>
          <w:p>
            <w:pPr>
              <w:jc w:val="left"/>
            </w:pPr>
            <w:r>
              <w:rPr/>
              <w:t>1.成交人必须依照招标文件的要求和投标文件的承诺，将设备、系统安装并调试至正常运行的最佳状态。 2.货物若有国家标准按照国家标准验收，若无国家标准按行业标准验收，为原制造商制造的全新产品，整机无污染，无侵权行为、表面无划损、无任何缺陷隐患，在中国境内可依常规安全合法使用。  3.货物为原厂商未启封全新包装，具出厂合格证，序列号、包装箱号与出厂批号一致，并可追索查阅。所有随设备的附件必须齐全。 4.成交人应将关键主机设备的用户手册、保修手册、有关单证资料及配备件、随机工具等交付给采购人，使用操作及安全须知等重要资料应附有中文说明。</w:t>
            </w:r>
          </w:p>
        </w:tc>
      </w:tr>
    </w:tbl>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r>
              <w:rPr/>
              <w:t>说明</w:t>
            </w:r>
          </w:p>
        </w:tc>
        <w:tc>
          <w:tcPr>
            <w:tcW w:type="dxa" w:w="5538"/>
            <w:gridSpan w:val="2"/>
          </w:tcPr>
          <w:p>
            <w:pPr>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其他信息技术服务</w:t>
            </w:r>
          </w:p>
        </w:tc>
        <w:tc>
          <w:tcPr>
            <w:tcW w:type="dxa" w:w="933"/>
          </w:tcPr>
          <w:p>
            <w:pPr>
              <w:jc w:val="left"/>
            </w:pPr>
            <w:r>
              <w:rPr/>
              <w:t>云浮市政务服务大厅窗口统一办事呼叫、评价设备购买和运维（2023-2024年）项目</w:t>
            </w:r>
          </w:p>
        </w:tc>
        <w:tc>
          <w:tcPr>
            <w:tcW w:type="dxa" w:w="933"/>
          </w:tcPr>
          <w:p>
            <w:pPr>
              <w:jc w:val="left"/>
            </w:pPr>
            <w:r>
              <w:rPr/>
              <w:t>项</w:t>
            </w:r>
          </w:p>
        </w:tc>
        <w:tc>
          <w:tcPr>
            <w:tcW w:type="dxa" w:w="933"/>
          </w:tcPr>
          <w:p>
            <w:pPr>
              <w:jc w:val="right"/>
            </w:pPr>
            <w:r>
              <w:rPr/>
              <w:t>1.00</w:t>
            </w:r>
          </w:p>
        </w:tc>
        <w:tc>
          <w:tcPr>
            <w:tcW w:type="dxa" w:w="933"/>
          </w:tcPr>
          <w:p>
            <w:pPr>
              <w:jc w:val="right"/>
            </w:pPr>
            <w:r>
              <w:rPr/>
              <w:t>1,894,200.00</w:t>
            </w:r>
          </w:p>
        </w:tc>
        <w:tc>
          <w:tcPr>
            <w:tcW w:type="dxa" w:w="933"/>
          </w:tcPr>
          <w:p>
            <w:pPr>
              <w:jc w:val="right"/>
            </w:pPr>
            <w:r>
              <w:rPr/>
              <w:t>1,894,200.00</w:t>
            </w:r>
          </w:p>
        </w:tc>
        <w:tc>
          <w:tcPr>
            <w:tcW w:type="dxa" w:w="840"/>
          </w:tcPr>
          <w:p>
            <w:r>
              <w:rPr/>
              <w:t>软件和信息技术服务业</w:t>
            </w:r>
          </w:p>
        </w:tc>
        <w:tc>
          <w:tcPr>
            <w:tcW w:type="dxa" w:w="933"/>
          </w:tcPr>
          <w:p>
            <w:r>
              <w:rPr/>
              <w:t>详见附表一</w:t>
            </w:r>
          </w:p>
        </w:tc>
      </w:tr>
    </w:tbl>
    <w:p/>
    <w:p>
      <w:r>
        <w:rPr>
          <w:b/>
        </w:rPr>
        <w:t>附表</w:t>
      </w:r>
      <w:r>
        <w:rPr>
          <w:b/>
        </w:rPr>
        <w:t>一</w:t>
      </w:r>
      <w:r>
        <w:rPr>
          <w:b/>
        </w:rPr>
        <w:t>：</w:t>
      </w:r>
      <w:r>
        <w:rPr>
          <w:b/>
        </w:rPr>
        <w:t>云浮市政务服务大厅窗口统一办事呼叫、评价设备购买和运维（2023-2024年）项目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color w:val="000000"/>
                <w:sz w:val="24"/>
              </w:rPr>
              <w:t>一、</w:t>
            </w:r>
            <w:r>
              <w:rPr>
                <w:color w:val="000000"/>
                <w:sz w:val="24"/>
              </w:rPr>
              <w:t>项目内容清单</w:t>
            </w:r>
          </w:p>
          <w:tbl>
            <w:tblPr>
              <w:tblBorders>
                <w:top w:val="none" w:color="000000" w:sz="4"/>
                <w:left w:val="none" w:color="000000" w:sz="4"/>
                <w:bottom w:val="none" w:color="000000" w:sz="4"/>
                <w:right w:val="none" w:color="000000" w:sz="4"/>
                <w:insideH w:val="none"/>
                <w:insideV w:val="none"/>
              </w:tblBorders>
            </w:tblPr>
            <w:tblGrid>
              <w:gridCol w:w="399"/>
              <w:gridCol w:w="757"/>
              <w:gridCol w:w="1208"/>
              <w:gridCol w:w="3234"/>
            </w:tblGrid>
            <w:tr>
              <w:tc>
                <w:tcPr>
                  <w:tcW w:type="dxa" w:w="399"/>
                  <w:tcBorders>
                    <w:top w:val="single" w:color="000000" w:sz="4"/>
                    <w:left w:val="single" w:color="000000" w:sz="4"/>
                    <w:bottom w:val="single" w:color="000000" w:sz="4"/>
                    <w:right w:val="single" w:color="000000" w:sz="4"/>
                  </w:tcBorders>
                  <w:vAlign w:val="top"/>
                </w:tcPr>
                <w:p>
                  <w:pPr>
                    <w:jc w:val="center"/>
                  </w:pPr>
                  <w:r>
                    <w:rPr>
                      <w:b/>
                      <w:color w:val="000000"/>
                      <w:sz w:val="24"/>
                    </w:rPr>
                    <w:t>序号</w:t>
                  </w:r>
                </w:p>
              </w:tc>
              <w:tc>
                <w:tcPr>
                  <w:tcW w:type="dxa" w:w="757"/>
                  <w:tcBorders>
                    <w:top w:val="single" w:color="000000" w:sz="4"/>
                    <w:left w:val="single" w:color="000000" w:sz="4"/>
                    <w:bottom w:val="single" w:color="000000" w:sz="4"/>
                    <w:right w:val="single" w:color="000000" w:sz="4"/>
                  </w:tcBorders>
                  <w:vAlign w:val="top"/>
                </w:tcPr>
                <w:p>
                  <w:pPr>
                    <w:jc w:val="center"/>
                  </w:pPr>
                  <w:r>
                    <w:rPr>
                      <w:b/>
                      <w:color w:val="000000"/>
                      <w:sz w:val="24"/>
                    </w:rPr>
                    <w:t>模块</w:t>
                  </w:r>
                </w:p>
              </w:tc>
              <w:tc>
                <w:tcPr>
                  <w:tcW w:type="dxa" w:w="1208"/>
                  <w:tcBorders>
                    <w:top w:val="single" w:color="000000" w:sz="4"/>
                    <w:left w:val="single" w:color="000000" w:sz="4"/>
                    <w:bottom w:val="single" w:color="000000" w:sz="4"/>
                    <w:right w:val="single" w:color="000000" w:sz="4"/>
                  </w:tcBorders>
                  <w:vAlign w:val="top"/>
                </w:tcPr>
                <w:p>
                  <w:pPr>
                    <w:jc w:val="center"/>
                  </w:pPr>
                  <w:r>
                    <w:rPr>
                      <w:b/>
                      <w:color w:val="000000"/>
                      <w:sz w:val="24"/>
                    </w:rPr>
                    <w:t>功能内容</w:t>
                  </w:r>
                </w:p>
              </w:tc>
              <w:tc>
                <w:tcPr>
                  <w:tcW w:type="dxa" w:w="3234"/>
                  <w:tcBorders>
                    <w:top w:val="single" w:color="000000" w:sz="4"/>
                    <w:left w:val="single" w:color="000000" w:sz="4"/>
                    <w:bottom w:val="single" w:color="000000" w:sz="4"/>
                    <w:right w:val="single" w:color="000000" w:sz="4"/>
                  </w:tcBorders>
                  <w:vAlign w:val="top"/>
                </w:tcPr>
                <w:p>
                  <w:pPr>
                    <w:jc w:val="center"/>
                  </w:pPr>
                  <w:r>
                    <w:rPr>
                      <w:b/>
                      <w:color w:val="000000"/>
                      <w:sz w:val="24"/>
                    </w:rPr>
                    <w:t>功能描述</w:t>
                  </w:r>
                </w:p>
              </w:tc>
            </w:tr>
            <w:tr>
              <w:tc>
                <w:tcPr>
                  <w:tcW w:type="dxa" w:w="399"/>
                  <w:vMerge w:val="restart"/>
                  <w:tcBorders>
                    <w:top w:val="none" w:color="000000" w:sz="4"/>
                    <w:left w:val="single" w:color="000000" w:sz="4"/>
                    <w:bottom w:val="single" w:color="000000" w:sz="4"/>
                    <w:right w:val="single" w:color="000000" w:sz="4"/>
                  </w:tcBorders>
                  <w:vAlign w:val="top"/>
                </w:tcPr>
                <w:p>
                  <w:pPr>
                    <w:jc w:val="center"/>
                  </w:pPr>
                  <w:r>
                    <w:rPr>
                      <w:color w:val="000000"/>
                      <w:sz w:val="24"/>
                    </w:rPr>
                    <w:t>1</w:t>
                  </w:r>
                </w:p>
              </w:tc>
              <w:tc>
                <w:tcPr>
                  <w:tcW w:type="dxa" w:w="757"/>
                  <w:vMerge w:val="restart"/>
                  <w:tcBorders>
                    <w:top w:val="none" w:color="000000" w:sz="4"/>
                    <w:left w:val="single" w:color="000000" w:sz="4"/>
                    <w:bottom w:val="single" w:color="000000" w:sz="4"/>
                    <w:right w:val="single" w:color="000000" w:sz="4"/>
                  </w:tcBorders>
                  <w:vAlign w:val="top"/>
                </w:tcPr>
                <w:p>
                  <w:pPr>
                    <w:jc w:val="center"/>
                  </w:pPr>
                  <w:r>
                    <w:rPr>
                      <w:b/>
                      <w:color w:val="000000"/>
                      <w:sz w:val="24"/>
                    </w:rPr>
                    <w:t>需求调研分析</w:t>
                  </w:r>
                </w:p>
              </w:tc>
              <w:tc>
                <w:tcPr>
                  <w:tcW w:type="dxa" w:w="1208"/>
                  <w:tcBorders>
                    <w:top w:val="none" w:color="000000" w:sz="4"/>
                    <w:left w:val="single" w:color="000000" w:sz="4"/>
                    <w:bottom w:val="single" w:color="000000" w:sz="4"/>
                    <w:right w:val="single" w:color="000000" w:sz="4"/>
                  </w:tcBorders>
                  <w:vAlign w:val="top"/>
                </w:tcPr>
                <w:p>
                  <w:pPr>
                    <w:jc w:val="center"/>
                  </w:pPr>
                  <w:r>
                    <w:rPr>
                      <w:color w:val="000000"/>
                      <w:sz w:val="24"/>
                    </w:rPr>
                    <w:t>需求调研</w:t>
                  </w:r>
                </w:p>
              </w:tc>
              <w:tc>
                <w:tcPr>
                  <w:tcW w:type="dxa" w:w="3234"/>
                  <w:tcBorders>
                    <w:top w:val="none" w:color="000000" w:sz="4"/>
                    <w:left w:val="single" w:color="000000" w:sz="4"/>
                    <w:bottom w:val="single" w:color="000000" w:sz="4"/>
                    <w:right w:val="single" w:color="000000" w:sz="4"/>
                  </w:tcBorders>
                  <w:vAlign w:val="top"/>
                </w:tcPr>
                <w:p>
                  <w:pPr>
                    <w:jc w:val="left"/>
                  </w:pPr>
                  <w:r>
                    <w:rPr>
                      <w:color w:val="000000"/>
                      <w:sz w:val="24"/>
                    </w:rPr>
                    <w:t>确定项目实现目标的综合要求，并提出这些需求实现条件，以及需求应达到的标准。</w:t>
                  </w:r>
                </w:p>
              </w:tc>
            </w:tr>
            <w:tr>
              <w:tc>
                <w:tcPr>
                  <w:tcW w:type="dxa" w:w="399"/>
                  <w:vMerge/>
                  <w:tcBorders>
                    <w:top w:val="none" w:color="000000" w:sz="4"/>
                    <w:left w:val="single" w:color="000000" w:sz="4"/>
                    <w:bottom w:val="single" w:color="000000" w:sz="4"/>
                    <w:right w:val="single" w:color="000000" w:sz="4"/>
                  </w:tcBorders>
                </w:tcPr>
                <w:p/>
              </w:tc>
              <w:tc>
                <w:tcPr>
                  <w:tcW w:type="dxa" w:w="757"/>
                  <w:vMerge/>
                  <w:tcBorders>
                    <w:top w:val="none" w:color="000000" w:sz="4"/>
                    <w:left w:val="single" w:color="000000" w:sz="4"/>
                    <w:bottom w:val="single" w:color="000000" w:sz="4"/>
                    <w:right w:val="single" w:color="000000" w:sz="4"/>
                  </w:tcBorders>
                </w:tcPr>
                <w:p/>
              </w:tc>
              <w:tc>
                <w:tcPr>
                  <w:tcW w:type="dxa" w:w="1208"/>
                  <w:tcBorders>
                    <w:top w:val="none" w:color="000000" w:sz="4"/>
                    <w:left w:val="single" w:color="000000" w:sz="4"/>
                    <w:bottom w:val="single" w:color="000000" w:sz="4"/>
                    <w:right w:val="single" w:color="000000" w:sz="4"/>
                  </w:tcBorders>
                  <w:vAlign w:val="top"/>
                </w:tcPr>
                <w:p>
                  <w:pPr>
                    <w:jc w:val="center"/>
                  </w:pPr>
                  <w:r>
                    <w:rPr>
                      <w:color w:val="000000"/>
                      <w:sz w:val="24"/>
                    </w:rPr>
                    <w:t>分析设计</w:t>
                  </w:r>
                </w:p>
              </w:tc>
              <w:tc>
                <w:tcPr>
                  <w:tcW w:type="dxa" w:w="3234"/>
                  <w:tcBorders>
                    <w:top w:val="none" w:color="000000" w:sz="4"/>
                    <w:left w:val="single" w:color="000000" w:sz="4"/>
                    <w:bottom w:val="single" w:color="000000" w:sz="4"/>
                    <w:right w:val="single" w:color="000000" w:sz="4"/>
                  </w:tcBorders>
                  <w:vAlign w:val="top"/>
                </w:tcPr>
                <w:p>
                  <w:pPr>
                    <w:jc w:val="left"/>
                  </w:pPr>
                  <w:r>
                    <w:rPr>
                      <w:color w:val="000000"/>
                      <w:sz w:val="24"/>
                    </w:rPr>
                    <w:t>确定可实现目标的落地方案。</w:t>
                  </w:r>
                </w:p>
              </w:tc>
            </w:tr>
            <w:tr>
              <w:tc>
                <w:tcPr>
                  <w:tcW w:type="dxa" w:w="399"/>
                  <w:vMerge w:val="restart"/>
                  <w:tcBorders>
                    <w:top w:val="none" w:color="000000" w:sz="4"/>
                    <w:left w:val="single" w:color="000000" w:sz="4"/>
                    <w:bottom w:val="single" w:color="000000" w:sz="4"/>
                    <w:right w:val="single" w:color="000000" w:sz="4"/>
                  </w:tcBorders>
                  <w:vAlign w:val="top"/>
                </w:tcPr>
                <w:p>
                  <w:pPr>
                    <w:jc w:val="center"/>
                  </w:pPr>
                  <w:r>
                    <w:rPr>
                      <w:color w:val="000000"/>
                      <w:sz w:val="24"/>
                    </w:rPr>
                    <w:t>2</w:t>
                  </w:r>
                </w:p>
              </w:tc>
              <w:tc>
                <w:tcPr>
                  <w:tcW w:type="dxa" w:w="757"/>
                  <w:vMerge w:val="restart"/>
                  <w:tcBorders>
                    <w:top w:val="none" w:color="000000" w:sz="4"/>
                    <w:left w:val="single" w:color="000000" w:sz="4"/>
                    <w:bottom w:val="single" w:color="000000" w:sz="4"/>
                    <w:right w:val="single" w:color="000000" w:sz="4"/>
                  </w:tcBorders>
                  <w:vAlign w:val="top"/>
                </w:tcPr>
                <w:p>
                  <w:pPr>
                    <w:jc w:val="center"/>
                  </w:pPr>
                  <w:r>
                    <w:rPr>
                      <w:b/>
                      <w:color w:val="000000"/>
                      <w:sz w:val="24"/>
                    </w:rPr>
                    <w:t>统一排队叫号系统</w:t>
                  </w:r>
                </w:p>
              </w:tc>
              <w:tc>
                <w:tcPr>
                  <w:tcW w:type="dxa" w:w="1208"/>
                  <w:tcBorders>
                    <w:top w:val="none" w:color="000000" w:sz="4"/>
                    <w:left w:val="single" w:color="000000" w:sz="4"/>
                    <w:bottom w:val="single" w:color="000000" w:sz="4"/>
                    <w:right w:val="single" w:color="000000" w:sz="4"/>
                  </w:tcBorders>
                  <w:vAlign w:val="top"/>
                </w:tcPr>
                <w:p>
                  <w:pPr>
                    <w:jc w:val="center"/>
                  </w:pPr>
                  <w:r>
                    <w:rPr>
                      <w:color w:val="000000"/>
                      <w:sz w:val="24"/>
                    </w:rPr>
                    <w:t>预约取号</w:t>
                  </w:r>
                </w:p>
              </w:tc>
              <w:tc>
                <w:tcPr>
                  <w:tcW w:type="dxa" w:w="3234"/>
                  <w:tcBorders>
                    <w:top w:val="none" w:color="000000" w:sz="4"/>
                    <w:left w:val="single" w:color="000000" w:sz="4"/>
                    <w:bottom w:val="single" w:color="000000" w:sz="4"/>
                    <w:right w:val="single" w:color="000000" w:sz="4"/>
                  </w:tcBorders>
                  <w:vAlign w:val="top"/>
                </w:tcPr>
                <w:p>
                  <w:pPr>
                    <w:jc w:val="left"/>
                  </w:pPr>
                  <w:r>
                    <w:rPr>
                      <w:color w:val="000000"/>
                      <w:sz w:val="24"/>
                    </w:rPr>
                    <w:t>已在线预约过的申请人，来到服务大厅后，可在业务预约规定时间内在取号机进行预约取号；</w:t>
                  </w:r>
                </w:p>
              </w:tc>
            </w:tr>
            <w:tr>
              <w:tc>
                <w:tcPr>
                  <w:tcW w:type="dxa" w:w="399"/>
                  <w:vMerge/>
                  <w:tcBorders>
                    <w:top w:val="none" w:color="000000" w:sz="4"/>
                    <w:left w:val="single" w:color="000000" w:sz="4"/>
                    <w:bottom w:val="single" w:color="000000" w:sz="4"/>
                    <w:right w:val="single" w:color="000000" w:sz="4"/>
                  </w:tcBorders>
                </w:tcPr>
                <w:p/>
              </w:tc>
              <w:tc>
                <w:tcPr>
                  <w:tcW w:type="dxa" w:w="757"/>
                  <w:vMerge/>
                  <w:tcBorders>
                    <w:top w:val="none" w:color="000000" w:sz="4"/>
                    <w:left w:val="single" w:color="000000" w:sz="4"/>
                    <w:bottom w:val="single" w:color="000000" w:sz="4"/>
                    <w:right w:val="single" w:color="000000" w:sz="4"/>
                  </w:tcBorders>
                </w:tcPr>
                <w:p/>
              </w:tc>
              <w:tc>
                <w:tcPr>
                  <w:tcW w:type="dxa" w:w="1208"/>
                  <w:tcBorders>
                    <w:top w:val="none" w:color="000000" w:sz="4"/>
                    <w:left w:val="single" w:color="000000" w:sz="4"/>
                    <w:bottom w:val="single" w:color="000000" w:sz="4"/>
                    <w:right w:val="single" w:color="000000" w:sz="4"/>
                  </w:tcBorders>
                  <w:vAlign w:val="top"/>
                </w:tcPr>
                <w:p>
                  <w:pPr>
                    <w:jc w:val="center"/>
                  </w:pPr>
                  <w:r>
                    <w:rPr>
                      <w:color w:val="000000"/>
                      <w:sz w:val="24"/>
                    </w:rPr>
                    <w:t>现场取号</w:t>
                  </w:r>
                </w:p>
              </w:tc>
              <w:tc>
                <w:tcPr>
                  <w:tcW w:type="dxa" w:w="3234"/>
                  <w:tcBorders>
                    <w:top w:val="none" w:color="000000" w:sz="4"/>
                    <w:left w:val="single" w:color="000000" w:sz="4"/>
                    <w:bottom w:val="single" w:color="000000" w:sz="4"/>
                    <w:right w:val="single" w:color="000000" w:sz="4"/>
                  </w:tcBorders>
                  <w:vAlign w:val="top"/>
                </w:tcPr>
                <w:p>
                  <w:pPr>
                    <w:jc w:val="left"/>
                  </w:pPr>
                  <w:r>
                    <w:rPr>
                      <w:color w:val="000000"/>
                      <w:sz w:val="24"/>
                    </w:rPr>
                    <w:t>办事人员若是事先没有预约，可以在服务大厅取号机上点击</w:t>
                  </w:r>
                  <w:r>
                    <w:rPr>
                      <w:color w:val="000000"/>
                      <w:sz w:val="24"/>
                    </w:rPr>
                    <w:t>“未预约取号”进行现场取号。</w:t>
                  </w:r>
                </w:p>
              </w:tc>
            </w:tr>
            <w:tr>
              <w:tc>
                <w:tcPr>
                  <w:tcW w:type="dxa" w:w="399"/>
                  <w:vMerge/>
                  <w:tcBorders>
                    <w:top w:val="none" w:color="000000" w:sz="4"/>
                    <w:left w:val="single" w:color="000000" w:sz="4"/>
                    <w:bottom w:val="single" w:color="000000" w:sz="4"/>
                    <w:right w:val="single" w:color="000000" w:sz="4"/>
                  </w:tcBorders>
                </w:tcPr>
                <w:p/>
              </w:tc>
              <w:tc>
                <w:tcPr>
                  <w:tcW w:type="dxa" w:w="757"/>
                  <w:vMerge/>
                  <w:tcBorders>
                    <w:top w:val="none" w:color="000000" w:sz="4"/>
                    <w:left w:val="single" w:color="000000" w:sz="4"/>
                    <w:bottom w:val="single" w:color="000000" w:sz="4"/>
                    <w:right w:val="single" w:color="000000" w:sz="4"/>
                  </w:tcBorders>
                </w:tcPr>
                <w:p/>
              </w:tc>
              <w:tc>
                <w:tcPr>
                  <w:tcW w:type="dxa" w:w="1208"/>
                  <w:tcBorders>
                    <w:top w:val="none" w:color="000000" w:sz="4"/>
                    <w:left w:val="single" w:color="000000" w:sz="4"/>
                    <w:bottom w:val="single" w:color="000000" w:sz="4"/>
                    <w:right w:val="single" w:color="000000" w:sz="4"/>
                  </w:tcBorders>
                  <w:vAlign w:val="top"/>
                </w:tcPr>
                <w:p>
                  <w:pPr>
                    <w:jc w:val="center"/>
                  </w:pPr>
                  <w:r>
                    <w:rPr>
                      <w:color w:val="000000"/>
                      <w:sz w:val="24"/>
                    </w:rPr>
                    <w:t>软件叫号</w:t>
                  </w:r>
                </w:p>
              </w:tc>
              <w:tc>
                <w:tcPr>
                  <w:tcW w:type="dxa" w:w="3234"/>
                  <w:tcBorders>
                    <w:top w:val="none" w:color="000000" w:sz="4"/>
                    <w:left w:val="single" w:color="000000" w:sz="4"/>
                    <w:bottom w:val="single" w:color="000000" w:sz="4"/>
                    <w:right w:val="single" w:color="000000" w:sz="4"/>
                  </w:tcBorders>
                  <w:vAlign w:val="top"/>
                </w:tcPr>
                <w:p>
                  <w:pPr>
                    <w:jc w:val="left"/>
                  </w:pPr>
                  <w:r>
                    <w:rPr>
                      <w:color w:val="000000"/>
                      <w:sz w:val="24"/>
                    </w:rPr>
                    <w:t>包括：顺呼、重呼、转移、插前等；</w:t>
                  </w:r>
                </w:p>
              </w:tc>
            </w:tr>
            <w:tr>
              <w:tc>
                <w:tcPr>
                  <w:tcW w:type="dxa" w:w="399"/>
                  <w:vMerge/>
                  <w:tcBorders>
                    <w:top w:val="none" w:color="000000" w:sz="4"/>
                    <w:left w:val="single" w:color="000000" w:sz="4"/>
                    <w:bottom w:val="single" w:color="000000" w:sz="4"/>
                    <w:right w:val="single" w:color="000000" w:sz="4"/>
                  </w:tcBorders>
                </w:tcPr>
                <w:p/>
              </w:tc>
              <w:tc>
                <w:tcPr>
                  <w:tcW w:type="dxa" w:w="757"/>
                  <w:vMerge/>
                  <w:tcBorders>
                    <w:top w:val="none" w:color="000000" w:sz="4"/>
                    <w:left w:val="single" w:color="000000" w:sz="4"/>
                    <w:bottom w:val="single" w:color="000000" w:sz="4"/>
                    <w:right w:val="single" w:color="000000" w:sz="4"/>
                  </w:tcBorders>
                </w:tcPr>
                <w:p/>
              </w:tc>
              <w:tc>
                <w:tcPr>
                  <w:tcW w:type="dxa" w:w="1208"/>
                  <w:tcBorders>
                    <w:top w:val="none" w:color="000000" w:sz="4"/>
                    <w:left w:val="single" w:color="000000" w:sz="4"/>
                    <w:bottom w:val="single" w:color="000000" w:sz="4"/>
                    <w:right w:val="single" w:color="000000" w:sz="4"/>
                  </w:tcBorders>
                  <w:vAlign w:val="top"/>
                </w:tcPr>
                <w:p>
                  <w:pPr>
                    <w:jc w:val="center"/>
                  </w:pPr>
                  <w:r>
                    <w:rPr>
                      <w:color w:val="000000"/>
                      <w:sz w:val="24"/>
                    </w:rPr>
                    <w:t>呼叫控制中心</w:t>
                  </w:r>
                </w:p>
              </w:tc>
              <w:tc>
                <w:tcPr>
                  <w:tcW w:type="dxa" w:w="3234"/>
                  <w:tcBorders>
                    <w:top w:val="none" w:color="000000" w:sz="4"/>
                    <w:left w:val="single" w:color="000000" w:sz="4"/>
                    <w:bottom w:val="single" w:color="000000" w:sz="4"/>
                    <w:right w:val="single" w:color="000000" w:sz="4"/>
                  </w:tcBorders>
                  <w:vAlign w:val="top"/>
                </w:tcPr>
                <w:p>
                  <w:pPr>
                    <w:jc w:val="left"/>
                  </w:pPr>
                  <w:r>
                    <w:rPr>
                      <w:color w:val="000000"/>
                      <w:sz w:val="24"/>
                    </w:rPr>
                    <w:t>可以实时对系统环节的运行状态管控，系统可以自动地跟踪各个服务队列的状态，做到自动调整。</w:t>
                  </w:r>
                </w:p>
              </w:tc>
            </w:tr>
            <w:tr>
              <w:tc>
                <w:tcPr>
                  <w:tcW w:type="dxa" w:w="399"/>
                  <w:vMerge/>
                  <w:tcBorders>
                    <w:top w:val="none" w:color="000000" w:sz="4"/>
                    <w:left w:val="single" w:color="000000" w:sz="4"/>
                    <w:bottom w:val="single" w:color="000000" w:sz="4"/>
                    <w:right w:val="single" w:color="000000" w:sz="4"/>
                  </w:tcBorders>
                </w:tcPr>
                <w:p/>
              </w:tc>
              <w:tc>
                <w:tcPr>
                  <w:tcW w:type="dxa" w:w="757"/>
                  <w:vMerge/>
                  <w:tcBorders>
                    <w:top w:val="none" w:color="000000" w:sz="4"/>
                    <w:left w:val="single" w:color="000000" w:sz="4"/>
                    <w:bottom w:val="single" w:color="000000" w:sz="4"/>
                    <w:right w:val="single" w:color="000000" w:sz="4"/>
                  </w:tcBorders>
                </w:tcPr>
                <w:p/>
              </w:tc>
              <w:tc>
                <w:tcPr>
                  <w:tcW w:type="dxa" w:w="1208"/>
                  <w:tcBorders>
                    <w:top w:val="none" w:color="000000" w:sz="4"/>
                    <w:left w:val="single" w:color="000000" w:sz="4"/>
                    <w:bottom w:val="single" w:color="000000" w:sz="4"/>
                    <w:right w:val="single" w:color="000000" w:sz="4"/>
                  </w:tcBorders>
                  <w:vAlign w:val="top"/>
                </w:tcPr>
                <w:p>
                  <w:pPr>
                    <w:jc w:val="center"/>
                  </w:pPr>
                  <w:r>
                    <w:rPr>
                      <w:color w:val="000000"/>
                      <w:sz w:val="24"/>
                    </w:rPr>
                    <w:t>叫号队列集中显示</w:t>
                  </w:r>
                </w:p>
              </w:tc>
              <w:tc>
                <w:tcPr>
                  <w:tcW w:type="dxa" w:w="3234"/>
                  <w:tcBorders>
                    <w:top w:val="none" w:color="000000" w:sz="4"/>
                    <w:left w:val="single" w:color="000000" w:sz="4"/>
                    <w:bottom w:val="single" w:color="000000" w:sz="4"/>
                    <w:right w:val="single" w:color="000000" w:sz="4"/>
                  </w:tcBorders>
                  <w:vAlign w:val="top"/>
                </w:tcPr>
                <w:p>
                  <w:pPr>
                    <w:jc w:val="left"/>
                  </w:pPr>
                  <w:r>
                    <w:rPr>
                      <w:color w:val="000000"/>
                      <w:sz w:val="24"/>
                    </w:rPr>
                    <w:t>将排队信息、叫号信息、等待信息在各类展示屏上显示，界面开发、实施展示等；</w:t>
                  </w:r>
                </w:p>
              </w:tc>
            </w:tr>
            <w:tr>
              <w:tc>
                <w:tcPr>
                  <w:tcW w:type="dxa" w:w="399"/>
                  <w:vMerge/>
                  <w:tcBorders>
                    <w:top w:val="none" w:color="000000" w:sz="4"/>
                    <w:left w:val="single" w:color="000000" w:sz="4"/>
                    <w:bottom w:val="single" w:color="000000" w:sz="4"/>
                    <w:right w:val="single" w:color="000000" w:sz="4"/>
                  </w:tcBorders>
                </w:tcPr>
                <w:p/>
              </w:tc>
              <w:tc>
                <w:tcPr>
                  <w:tcW w:type="dxa" w:w="757"/>
                  <w:vMerge/>
                  <w:tcBorders>
                    <w:top w:val="none" w:color="000000" w:sz="4"/>
                    <w:left w:val="single" w:color="000000" w:sz="4"/>
                    <w:bottom w:val="single" w:color="000000" w:sz="4"/>
                    <w:right w:val="single" w:color="000000" w:sz="4"/>
                  </w:tcBorders>
                </w:tcPr>
                <w:p/>
              </w:tc>
              <w:tc>
                <w:tcPr>
                  <w:tcW w:type="dxa" w:w="1208"/>
                  <w:tcBorders>
                    <w:top w:val="none" w:color="000000" w:sz="4"/>
                    <w:left w:val="single" w:color="000000" w:sz="4"/>
                    <w:bottom w:val="single" w:color="000000" w:sz="4"/>
                    <w:right w:val="single" w:color="000000" w:sz="4"/>
                  </w:tcBorders>
                  <w:vAlign w:val="top"/>
                </w:tcPr>
                <w:p>
                  <w:pPr>
                    <w:jc w:val="center"/>
                  </w:pPr>
                  <w:r>
                    <w:rPr>
                      <w:color w:val="000000"/>
                      <w:sz w:val="24"/>
                    </w:rPr>
                    <w:t>消息通信中间件</w:t>
                  </w:r>
                </w:p>
              </w:tc>
              <w:tc>
                <w:tcPr>
                  <w:tcW w:type="dxa" w:w="3234"/>
                  <w:tcBorders>
                    <w:top w:val="none" w:color="000000" w:sz="4"/>
                    <w:left w:val="single" w:color="000000" w:sz="4"/>
                    <w:bottom w:val="single" w:color="000000" w:sz="4"/>
                    <w:right w:val="single" w:color="000000" w:sz="4"/>
                  </w:tcBorders>
                  <w:vAlign w:val="top"/>
                </w:tcPr>
                <w:p>
                  <w:pPr>
                    <w:jc w:val="left"/>
                  </w:pPr>
                  <w:r>
                    <w:rPr>
                      <w:color w:val="000000"/>
                      <w:sz w:val="24"/>
                    </w:rPr>
                    <w:t>系统将通过模板消息的方式，为办事人推送已取号的当前等待人数、预计等待时间等。</w:t>
                  </w:r>
                </w:p>
              </w:tc>
            </w:tr>
            <w:tr>
              <w:tc>
                <w:tcPr>
                  <w:tcW w:type="dxa" w:w="399"/>
                  <w:vMerge/>
                  <w:tcBorders>
                    <w:top w:val="none" w:color="000000" w:sz="4"/>
                    <w:left w:val="single" w:color="000000" w:sz="4"/>
                    <w:bottom w:val="single" w:color="000000" w:sz="4"/>
                    <w:right w:val="single" w:color="000000" w:sz="4"/>
                  </w:tcBorders>
                </w:tcPr>
                <w:p/>
              </w:tc>
              <w:tc>
                <w:tcPr>
                  <w:tcW w:type="dxa" w:w="757"/>
                  <w:vMerge/>
                  <w:tcBorders>
                    <w:top w:val="none" w:color="000000" w:sz="4"/>
                    <w:left w:val="single" w:color="000000" w:sz="4"/>
                    <w:bottom w:val="single" w:color="000000" w:sz="4"/>
                    <w:right w:val="single" w:color="000000" w:sz="4"/>
                  </w:tcBorders>
                </w:tcPr>
                <w:p/>
              </w:tc>
              <w:tc>
                <w:tcPr>
                  <w:tcW w:type="dxa" w:w="1208"/>
                  <w:tcBorders>
                    <w:top w:val="none" w:color="000000" w:sz="4"/>
                    <w:left w:val="single" w:color="000000" w:sz="4"/>
                    <w:bottom w:val="single" w:color="000000" w:sz="4"/>
                    <w:right w:val="single" w:color="000000" w:sz="4"/>
                  </w:tcBorders>
                  <w:vAlign w:val="top"/>
                </w:tcPr>
                <w:p>
                  <w:pPr>
                    <w:jc w:val="center"/>
                  </w:pPr>
                  <w:r>
                    <w:rPr>
                      <w:color w:val="000000"/>
                      <w:sz w:val="24"/>
                    </w:rPr>
                    <w:t>后台管理模块</w:t>
                  </w:r>
                </w:p>
              </w:tc>
              <w:tc>
                <w:tcPr>
                  <w:tcW w:type="dxa" w:w="3234"/>
                  <w:tcBorders>
                    <w:top w:val="none" w:color="000000" w:sz="4"/>
                    <w:left w:val="single" w:color="000000" w:sz="4"/>
                    <w:bottom w:val="single" w:color="000000" w:sz="4"/>
                    <w:right w:val="single" w:color="000000" w:sz="4"/>
                  </w:tcBorders>
                  <w:vAlign w:val="top"/>
                </w:tcPr>
                <w:p>
                  <w:pPr>
                    <w:jc w:val="left"/>
                  </w:pPr>
                  <w:r>
                    <w:rPr>
                      <w:color w:val="000000"/>
                      <w:sz w:val="24"/>
                    </w:rPr>
                    <w:t>包括业务窗口管理、业务规则设置、业务转移逻辑等功能，同时后台管理具有统计功能，以饼图、柱状图、线型图等方式展示周期时间的取号量、预约量等。</w:t>
                  </w:r>
                </w:p>
              </w:tc>
            </w:tr>
            <w:tr>
              <w:tc>
                <w:tcPr>
                  <w:tcW w:type="dxa" w:w="399"/>
                  <w:vMerge w:val="restart"/>
                  <w:tcBorders>
                    <w:top w:val="none" w:color="000000" w:sz="4"/>
                    <w:left w:val="single" w:color="000000" w:sz="4"/>
                    <w:bottom w:val="single" w:color="000000" w:sz="4"/>
                    <w:right w:val="single" w:color="000000" w:sz="4"/>
                  </w:tcBorders>
                  <w:vAlign w:val="top"/>
                </w:tcPr>
                <w:p>
                  <w:pPr>
                    <w:jc w:val="center"/>
                  </w:pPr>
                  <w:r>
                    <w:rPr>
                      <w:color w:val="000000"/>
                      <w:sz w:val="24"/>
                    </w:rPr>
                    <w:t>3</w:t>
                  </w:r>
                </w:p>
              </w:tc>
              <w:tc>
                <w:tcPr>
                  <w:tcW w:type="dxa" w:w="757"/>
                  <w:vMerge w:val="restart"/>
                  <w:tcBorders>
                    <w:top w:val="none" w:color="000000" w:sz="4"/>
                    <w:left w:val="single" w:color="000000" w:sz="4"/>
                    <w:bottom w:val="single" w:color="000000" w:sz="4"/>
                    <w:right w:val="single" w:color="000000" w:sz="4"/>
                  </w:tcBorders>
                  <w:vAlign w:val="top"/>
                </w:tcPr>
                <w:p>
                  <w:pPr>
                    <w:jc w:val="center"/>
                  </w:pPr>
                  <w:r>
                    <w:rPr>
                      <w:b/>
                      <w:color w:val="000000"/>
                      <w:sz w:val="24"/>
                    </w:rPr>
                    <w:t>系统对接工作</w:t>
                  </w:r>
                </w:p>
              </w:tc>
              <w:tc>
                <w:tcPr>
                  <w:tcW w:type="dxa" w:w="1208"/>
                  <w:tcBorders>
                    <w:top w:val="none" w:color="000000" w:sz="4"/>
                    <w:left w:val="single" w:color="000000" w:sz="4"/>
                    <w:bottom w:val="single" w:color="000000" w:sz="4"/>
                    <w:right w:val="single" w:color="000000" w:sz="4"/>
                  </w:tcBorders>
                  <w:vAlign w:val="top"/>
                </w:tcPr>
                <w:p>
                  <w:pPr>
                    <w:jc w:val="left"/>
                  </w:pPr>
                  <w:r>
                    <w:rPr>
                      <w:color w:val="000000"/>
                      <w:sz w:val="24"/>
                    </w:rPr>
                    <w:t>与云浮市一体化公共服务平台完成对接</w:t>
                  </w:r>
                </w:p>
              </w:tc>
              <w:tc>
                <w:tcPr>
                  <w:tcW w:type="dxa" w:w="3234"/>
                  <w:tcBorders>
                    <w:top w:val="none" w:color="000000" w:sz="4"/>
                    <w:left w:val="single" w:color="000000" w:sz="4"/>
                    <w:bottom w:val="single" w:color="000000" w:sz="4"/>
                    <w:right w:val="single" w:color="000000" w:sz="4"/>
                  </w:tcBorders>
                  <w:vAlign w:val="top"/>
                </w:tcPr>
                <w:p>
                  <w:pPr>
                    <w:jc w:val="both"/>
                  </w:pPr>
                  <w:r>
                    <w:rPr>
                      <w:color w:val="000000"/>
                      <w:sz w:val="24"/>
                    </w:rPr>
                    <w:t>按照市大集中的业务模式，排队叫号系统需要与</w:t>
                  </w:r>
                  <w:r>
                    <w:rPr>
                      <w:color w:val="000000"/>
                      <w:sz w:val="24"/>
                    </w:rPr>
                    <w:t>云浮市一体化公共服务平台</w:t>
                  </w:r>
                  <w:r>
                    <w:rPr>
                      <w:color w:val="000000"/>
                      <w:sz w:val="24"/>
                    </w:rPr>
                    <w:t>完成对接，（</w:t>
                  </w:r>
                  <w:r>
                    <w:rPr>
                      <w:color w:val="000000"/>
                      <w:sz w:val="24"/>
                    </w:rPr>
                    <w:t>1）实现各端取号数据实时归集至</w:t>
                  </w:r>
                  <w:r>
                    <w:rPr>
                      <w:color w:val="000000"/>
                      <w:sz w:val="24"/>
                    </w:rPr>
                    <w:t>云浮市一体化公共服务平台</w:t>
                  </w:r>
                  <w:r>
                    <w:rPr>
                      <w:color w:val="000000"/>
                      <w:sz w:val="24"/>
                    </w:rPr>
                    <w:t>；（</w:t>
                  </w:r>
                  <w:r>
                    <w:rPr>
                      <w:color w:val="000000"/>
                      <w:sz w:val="24"/>
                    </w:rPr>
                    <w:t>2）窗口人员可通过</w:t>
                  </w:r>
                  <w:r>
                    <w:rPr>
                      <w:color w:val="000000"/>
                      <w:sz w:val="24"/>
                    </w:rPr>
                    <w:t>云浮市一体化公共服务平台</w:t>
                  </w:r>
                  <w:r>
                    <w:rPr>
                      <w:color w:val="000000"/>
                      <w:sz w:val="24"/>
                    </w:rPr>
                    <w:t>叫号并实时将叫号数据归集到</w:t>
                  </w:r>
                  <w:r>
                    <w:rPr>
                      <w:color w:val="000000"/>
                      <w:sz w:val="24"/>
                    </w:rPr>
                    <w:t>云浮市一体化公共服务平台</w:t>
                  </w:r>
                  <w:r>
                    <w:rPr>
                      <w:color w:val="000000"/>
                      <w:sz w:val="24"/>
                    </w:rPr>
                    <w:t>；（</w:t>
                  </w:r>
                  <w:r>
                    <w:rPr>
                      <w:color w:val="000000"/>
                      <w:sz w:val="24"/>
                    </w:rPr>
                    <w:t>3）窗口人员为群众办理业务后引导发起评价，群众通过评价器评价后实时返回评价结果给</w:t>
                  </w:r>
                  <w:r>
                    <w:rPr>
                      <w:color w:val="000000"/>
                      <w:sz w:val="24"/>
                    </w:rPr>
                    <w:t>云浮市一体化公共服务平台</w:t>
                  </w:r>
                  <w:r>
                    <w:rPr>
                      <w:color w:val="000000"/>
                      <w:sz w:val="24"/>
                    </w:rPr>
                    <w:t>；（</w:t>
                  </w:r>
                  <w:r>
                    <w:rPr>
                      <w:color w:val="000000"/>
                      <w:sz w:val="24"/>
                    </w:rPr>
                    <w:t>4）评价器支持展示办事窗口基本信息（包括但不限于：人员姓名、窗口号、照片、编码等信息）。</w:t>
                  </w:r>
                </w:p>
              </w:tc>
            </w:tr>
            <w:tr>
              <w:tc>
                <w:tcPr>
                  <w:tcW w:type="dxa" w:w="399"/>
                  <w:vMerge/>
                  <w:tcBorders>
                    <w:top w:val="none" w:color="000000" w:sz="4"/>
                    <w:left w:val="single" w:color="000000" w:sz="4"/>
                    <w:bottom w:val="single" w:color="000000" w:sz="4"/>
                    <w:right w:val="single" w:color="000000" w:sz="4"/>
                  </w:tcBorders>
                </w:tcPr>
                <w:p/>
              </w:tc>
              <w:tc>
                <w:tcPr>
                  <w:tcW w:type="dxa" w:w="757"/>
                  <w:vMerge/>
                  <w:tcBorders>
                    <w:top w:val="none" w:color="000000" w:sz="4"/>
                    <w:left w:val="single" w:color="000000" w:sz="4"/>
                    <w:bottom w:val="single" w:color="000000" w:sz="4"/>
                    <w:right w:val="single" w:color="000000" w:sz="4"/>
                  </w:tcBorders>
                </w:tcPr>
                <w:p/>
              </w:tc>
              <w:tc>
                <w:tcPr>
                  <w:tcW w:type="dxa" w:w="1208"/>
                  <w:tcBorders>
                    <w:top w:val="none" w:color="000000" w:sz="4"/>
                    <w:left w:val="single" w:color="000000" w:sz="4"/>
                    <w:bottom w:val="single" w:color="000000" w:sz="4"/>
                    <w:right w:val="single" w:color="000000" w:sz="4"/>
                  </w:tcBorders>
                  <w:vAlign w:val="top"/>
                </w:tcPr>
                <w:p>
                  <w:pPr>
                    <w:jc w:val="left"/>
                  </w:pPr>
                  <w:r>
                    <w:rPr>
                      <w:color w:val="000000"/>
                      <w:sz w:val="24"/>
                    </w:rPr>
                    <w:t>与市统一预约系统完成对接</w:t>
                  </w:r>
                </w:p>
              </w:tc>
              <w:tc>
                <w:tcPr>
                  <w:tcW w:type="dxa" w:w="3234"/>
                  <w:tcBorders>
                    <w:top w:val="none" w:color="000000" w:sz="4"/>
                    <w:left w:val="single" w:color="000000" w:sz="4"/>
                    <w:bottom w:val="single" w:color="000000" w:sz="4"/>
                    <w:right w:val="single" w:color="000000" w:sz="4"/>
                  </w:tcBorders>
                  <w:vAlign w:val="top"/>
                </w:tcPr>
                <w:p>
                  <w:pPr>
                    <w:jc w:val="both"/>
                  </w:pPr>
                  <w:r>
                    <w:rPr>
                      <w:color w:val="000000"/>
                      <w:sz w:val="24"/>
                    </w:rPr>
                    <w:t>与统一预约系统完成对接后，（</w:t>
                  </w:r>
                  <w:r>
                    <w:rPr>
                      <w:color w:val="000000"/>
                      <w:sz w:val="24"/>
                    </w:rPr>
                    <w:t>1）群众通过多端预约成功后，预约系统实时同步预约信息到排队叫号系统，群众预约成功后或者在服务中心可在终端设备通过身份证取号、社保卡取号、手机号码、预约码取号；（2）取消预约成功后，预约系统实时同步取消预约信息到排队叫号系统；（3）所有渠道预约数统计、预约总数等信息，同步到排队叫号系统以方便统计。</w:t>
                  </w:r>
                </w:p>
              </w:tc>
            </w:tr>
            <w:tr>
              <w:tc>
                <w:tcPr>
                  <w:tcW w:type="dxa" w:w="399"/>
                  <w:tcBorders>
                    <w:top w:val="none" w:color="000000" w:sz="4"/>
                    <w:left w:val="single" w:color="000000" w:sz="4"/>
                    <w:bottom w:val="single" w:color="000000" w:sz="4"/>
                    <w:right w:val="single" w:color="000000" w:sz="4"/>
                  </w:tcBorders>
                  <w:vAlign w:val="top"/>
                </w:tcPr>
                <w:p>
                  <w:pPr>
                    <w:jc w:val="center"/>
                  </w:pPr>
                  <w:r>
                    <w:rPr>
                      <w:color w:val="000000"/>
                      <w:sz w:val="24"/>
                    </w:rPr>
                    <w:t>4</w:t>
                  </w:r>
                </w:p>
              </w:tc>
              <w:tc>
                <w:tcPr>
                  <w:tcW w:type="dxa" w:w="757"/>
                  <w:tcBorders>
                    <w:top w:val="none" w:color="000000" w:sz="4"/>
                    <w:left w:val="single" w:color="000000" w:sz="4"/>
                    <w:bottom w:val="single" w:color="000000" w:sz="4"/>
                    <w:right w:val="single" w:color="000000" w:sz="4"/>
                  </w:tcBorders>
                  <w:vAlign w:val="top"/>
                </w:tcPr>
                <w:p>
                  <w:pPr>
                    <w:jc w:val="center"/>
                  </w:pPr>
                  <w:r>
                    <w:rPr>
                      <w:b/>
                      <w:color w:val="000000"/>
                      <w:sz w:val="24"/>
                    </w:rPr>
                    <w:t>信息化和数字化服务能力</w:t>
                  </w:r>
                </w:p>
              </w:tc>
              <w:tc>
                <w:tcPr>
                  <w:tcW w:type="dxa" w:w="1208"/>
                  <w:tcBorders>
                    <w:top w:val="none" w:color="000000" w:sz="4"/>
                    <w:left w:val="single" w:color="000000" w:sz="4"/>
                    <w:bottom w:val="single" w:color="000000" w:sz="4"/>
                    <w:right w:val="single" w:color="000000" w:sz="4"/>
                  </w:tcBorders>
                  <w:vAlign w:val="top"/>
                </w:tcPr>
                <w:p>
                  <w:pPr>
                    <w:jc w:val="left"/>
                  </w:pPr>
                  <w:r>
                    <w:rPr>
                      <w:color w:val="000000"/>
                      <w:sz w:val="24"/>
                    </w:rPr>
                    <w:t>服务能力提升</w:t>
                  </w:r>
                </w:p>
              </w:tc>
              <w:tc>
                <w:tcPr>
                  <w:tcW w:type="dxa" w:w="3234"/>
                  <w:tcBorders>
                    <w:top w:val="none" w:color="000000" w:sz="4"/>
                    <w:left w:val="single" w:color="000000" w:sz="4"/>
                    <w:bottom w:val="single" w:color="000000" w:sz="4"/>
                    <w:right w:val="single" w:color="000000" w:sz="4"/>
                  </w:tcBorders>
                  <w:vAlign w:val="top"/>
                </w:tcPr>
                <w:p>
                  <w:r>
                    <w:rPr>
                      <w:color w:val="000000"/>
                      <w:sz w:val="24"/>
                    </w:rPr>
                    <w:t>（</w:t>
                  </w:r>
                  <w:r>
                    <w:rPr>
                      <w:color w:val="000000"/>
                      <w:sz w:val="24"/>
                    </w:rPr>
                    <w:t>1）支持微信公众号在线排号服务，支持多种方式现场取号(预约手机号、粤省事码扫码、刷身份证取号、社保卡取号等)，实现服务事项与取号绑定，大厅现场无声叫号；</w:t>
                  </w:r>
                </w:p>
                <w:p>
                  <w:r>
                    <w:rPr>
                      <w:color w:val="000000"/>
                      <w:sz w:val="24"/>
                    </w:rPr>
                    <w:t>（</w:t>
                  </w:r>
                  <w:r>
                    <w:rPr>
                      <w:color w:val="000000"/>
                      <w:sz w:val="24"/>
                    </w:rPr>
                    <w:t>2）部署排队取号机、窗口叫号器、集中显示屏、窗口评价器等硬件设备一批，以提升各级行政服务中心信息化和数字化服务能力；</w:t>
                  </w:r>
                </w:p>
                <w:p>
                  <w:r>
                    <w:rPr>
                      <w:color w:val="000000"/>
                      <w:sz w:val="24"/>
                    </w:rPr>
                    <w:t>（</w:t>
                  </w:r>
                  <w:r>
                    <w:rPr>
                      <w:color w:val="000000"/>
                      <w:sz w:val="24"/>
                    </w:rPr>
                    <w:t>3）其他镇（街）、村级政务服务大厅可实现线上查询预约情况和实现动态二维码评价；</w:t>
                  </w:r>
                </w:p>
                <w:p>
                  <w:pPr>
                    <w:jc w:val="both"/>
                  </w:pPr>
                  <w:r>
                    <w:rPr>
                      <w:color w:val="000000"/>
                      <w:sz w:val="24"/>
                    </w:rPr>
                    <w:t>（</w:t>
                  </w:r>
                  <w:r>
                    <w:rPr>
                      <w:color w:val="000000"/>
                      <w:sz w:val="24"/>
                    </w:rPr>
                    <w:t>4）统计办件的平均时长。</w:t>
                  </w:r>
                </w:p>
              </w:tc>
            </w:tr>
            <w:tr>
              <w:tc>
                <w:tcPr>
                  <w:tcW w:type="dxa" w:w="399"/>
                  <w:vMerge w:val="restart"/>
                  <w:tcBorders>
                    <w:top w:val="none" w:color="000000" w:sz="4"/>
                    <w:left w:val="single" w:color="000000" w:sz="4"/>
                    <w:bottom w:val="single" w:color="000000" w:sz="4"/>
                    <w:right w:val="single" w:color="000000" w:sz="4"/>
                  </w:tcBorders>
                  <w:vAlign w:val="top"/>
                </w:tcPr>
                <w:p>
                  <w:pPr>
                    <w:jc w:val="center"/>
                  </w:pPr>
                  <w:r>
                    <w:rPr>
                      <w:color w:val="000000"/>
                      <w:sz w:val="24"/>
                    </w:rPr>
                    <w:t>5</w:t>
                  </w:r>
                </w:p>
              </w:tc>
              <w:tc>
                <w:tcPr>
                  <w:tcW w:type="dxa" w:w="757"/>
                  <w:vMerge w:val="restart"/>
                  <w:tcBorders>
                    <w:top w:val="none" w:color="000000" w:sz="4"/>
                    <w:left w:val="single" w:color="000000" w:sz="4"/>
                    <w:bottom w:val="single" w:color="000000" w:sz="4"/>
                    <w:right w:val="single" w:color="000000" w:sz="4"/>
                  </w:tcBorders>
                  <w:vAlign w:val="top"/>
                </w:tcPr>
                <w:p>
                  <w:pPr>
                    <w:jc w:val="center"/>
                  </w:pPr>
                  <w:r>
                    <w:rPr>
                      <w:b/>
                      <w:color w:val="000000"/>
                      <w:sz w:val="24"/>
                    </w:rPr>
                    <w:t>运营服务</w:t>
                  </w:r>
                </w:p>
              </w:tc>
              <w:tc>
                <w:tcPr>
                  <w:tcW w:type="dxa" w:w="1208"/>
                  <w:tcBorders>
                    <w:top w:val="none" w:color="000000" w:sz="4"/>
                    <w:left w:val="single" w:color="000000" w:sz="4"/>
                    <w:bottom w:val="single" w:color="000000" w:sz="4"/>
                    <w:right w:val="single" w:color="000000" w:sz="4"/>
                  </w:tcBorders>
                  <w:vAlign w:val="top"/>
                </w:tcPr>
                <w:p>
                  <w:pPr>
                    <w:jc w:val="left"/>
                  </w:pPr>
                  <w:r>
                    <w:rPr>
                      <w:color w:val="000000"/>
                      <w:sz w:val="24"/>
                    </w:rPr>
                    <w:t>运营技术支持</w:t>
                  </w:r>
                </w:p>
              </w:tc>
              <w:tc>
                <w:tcPr>
                  <w:tcW w:type="dxa" w:w="3234"/>
                  <w:tcBorders>
                    <w:top w:val="none" w:color="000000" w:sz="4"/>
                    <w:left w:val="single" w:color="000000" w:sz="4"/>
                    <w:bottom w:val="single" w:color="000000" w:sz="4"/>
                    <w:right w:val="single" w:color="000000" w:sz="4"/>
                  </w:tcBorders>
                  <w:vAlign w:val="top"/>
                </w:tcPr>
                <w:p>
                  <w:pPr>
                    <w:jc w:val="both"/>
                  </w:pPr>
                  <w:r>
                    <w:rPr>
                      <w:color w:val="000000"/>
                      <w:sz w:val="24"/>
                    </w:rPr>
                    <w:t>运营技术支持服务，期间需确保各服务窗口预约、呼叫服务、评价服务的正常运作。</w:t>
                  </w:r>
                </w:p>
              </w:tc>
            </w:tr>
            <w:tr>
              <w:tc>
                <w:tcPr>
                  <w:tcW w:type="dxa" w:w="399"/>
                  <w:vMerge/>
                  <w:tcBorders>
                    <w:top w:val="none" w:color="000000" w:sz="4"/>
                    <w:left w:val="single" w:color="000000" w:sz="4"/>
                    <w:bottom w:val="single" w:color="000000" w:sz="4"/>
                    <w:right w:val="single" w:color="000000" w:sz="4"/>
                  </w:tcBorders>
                </w:tcPr>
                <w:p/>
              </w:tc>
              <w:tc>
                <w:tcPr>
                  <w:tcW w:type="dxa" w:w="757"/>
                  <w:vMerge/>
                  <w:tcBorders>
                    <w:top w:val="none" w:color="000000" w:sz="4"/>
                    <w:left w:val="single" w:color="000000" w:sz="4"/>
                    <w:bottom w:val="single" w:color="000000" w:sz="4"/>
                    <w:right w:val="single" w:color="000000" w:sz="4"/>
                  </w:tcBorders>
                </w:tcPr>
                <w:p/>
              </w:tc>
              <w:tc>
                <w:tcPr>
                  <w:tcW w:type="dxa" w:w="1208"/>
                  <w:tcBorders>
                    <w:top w:val="none" w:color="000000" w:sz="4"/>
                    <w:left w:val="single" w:color="000000" w:sz="4"/>
                    <w:bottom w:val="single" w:color="000000" w:sz="4"/>
                    <w:right w:val="single" w:color="000000" w:sz="4"/>
                  </w:tcBorders>
                  <w:vAlign w:val="top"/>
                </w:tcPr>
                <w:p>
                  <w:pPr>
                    <w:jc w:val="left"/>
                  </w:pPr>
                  <w:r>
                    <w:rPr>
                      <w:color w:val="000000"/>
                      <w:sz w:val="24"/>
                    </w:rPr>
                    <w:t>信息化稳定性服务</w:t>
                  </w:r>
                </w:p>
              </w:tc>
              <w:tc>
                <w:tcPr>
                  <w:tcW w:type="dxa" w:w="3234"/>
                  <w:tcBorders>
                    <w:top w:val="none" w:color="000000" w:sz="4"/>
                    <w:left w:val="single" w:color="000000" w:sz="4"/>
                    <w:bottom w:val="single" w:color="000000" w:sz="4"/>
                    <w:right w:val="single" w:color="000000" w:sz="4"/>
                  </w:tcBorders>
                  <w:vAlign w:val="top"/>
                </w:tcPr>
                <w:p>
                  <w:pPr>
                    <w:jc w:val="both"/>
                  </w:pPr>
                  <w:r>
                    <w:rPr>
                      <w:color w:val="000000"/>
                      <w:sz w:val="24"/>
                    </w:rPr>
                    <w:t>确保软件、硬件设备质保服务，期间需确保各中心数字化服务正常运行，各服务窗口预约、呼叫服务、评价服务的正常运作。</w:t>
                  </w:r>
                </w:p>
              </w:tc>
            </w:tr>
          </w:tbl>
        </w:tc>
      </w:tr>
      <w:tr>
        <w:tc>
          <w:tcPr>
            <w:tcW w:type="dxa" w:w="2076"/>
          </w:tcPr>
          <w:p/>
        </w:tc>
        <w:tc>
          <w:tcPr>
            <w:tcW w:type="dxa" w:w="415"/>
          </w:tcPr>
          <w:p>
            <w:r>
              <w:rPr/>
              <w:t>2</w:t>
            </w:r>
          </w:p>
        </w:tc>
        <w:tc>
          <w:tcPr>
            <w:tcW w:type="dxa" w:w="5814"/>
          </w:tcPr>
          <w:p>
            <w:r>
              <w:rPr>
                <w:color w:val="000000"/>
                <w:sz w:val="24"/>
              </w:rPr>
              <w:t>二、现场设备设施情况</w:t>
            </w:r>
          </w:p>
          <w:p>
            <w:pPr>
              <w:ind w:firstLine="480"/>
              <w:jc w:val="both"/>
            </w:pPr>
            <w:r>
              <w:rPr>
                <w:color w:val="000000"/>
                <w:sz w:val="24"/>
              </w:rPr>
              <w:t>2.1</w:t>
            </w:r>
            <w:r>
              <w:rPr>
                <w:color w:val="000000"/>
                <w:sz w:val="24"/>
              </w:rPr>
              <w:t>云安区行政服务中心部署</w:t>
            </w:r>
          </w:p>
          <w:p>
            <w:pPr>
              <w:ind w:firstLine="480"/>
              <w:jc w:val="both"/>
            </w:pPr>
            <w:r>
              <w:rPr>
                <w:color w:val="000000"/>
                <w:sz w:val="24"/>
              </w:rPr>
              <w:t>云安区行政服务中心窗口主要集中在</w:t>
            </w:r>
            <w:r>
              <w:rPr>
                <w:color w:val="000000"/>
                <w:sz w:val="24"/>
              </w:rPr>
              <w:t>1</w:t>
            </w:r>
            <w:r>
              <w:rPr>
                <w:color w:val="000000"/>
                <w:sz w:val="24"/>
              </w:rPr>
              <w:t>楼。大厅采用传统的有声叫号排队系统，系统开发商是莱盈，目前不再支持大厅排队叫号系统的运营。</w:t>
            </w:r>
            <w:r>
              <w:rPr>
                <w:color w:val="000000"/>
                <w:sz w:val="24"/>
              </w:rPr>
              <w:t>1</w:t>
            </w:r>
            <w:r>
              <w:rPr>
                <w:color w:val="000000"/>
                <w:sz w:val="24"/>
              </w:rPr>
              <w:t>楼窗口双色异步</w:t>
            </w:r>
            <w:r>
              <w:rPr>
                <w:color w:val="000000"/>
                <w:sz w:val="24"/>
              </w:rPr>
              <w:t>LED</w:t>
            </w:r>
            <w:r>
              <w:rPr>
                <w:color w:val="000000"/>
                <w:sz w:val="24"/>
              </w:rPr>
              <w:t>窗口屏，控制器品牌北京视展；大厅有排队取号机</w:t>
            </w:r>
            <w:r>
              <w:rPr>
                <w:color w:val="000000"/>
                <w:sz w:val="24"/>
              </w:rPr>
              <w:t>1</w:t>
            </w:r>
            <w:r>
              <w:rPr>
                <w:color w:val="000000"/>
                <w:sz w:val="24"/>
              </w:rPr>
              <w:t>部，信息显示屏</w:t>
            </w:r>
            <w:r>
              <w:rPr>
                <w:color w:val="000000"/>
                <w:sz w:val="24"/>
              </w:rPr>
              <w:t>4</w:t>
            </w:r>
            <w:r>
              <w:rPr>
                <w:color w:val="000000"/>
                <w:sz w:val="24"/>
              </w:rPr>
              <w:t>台，大厅窗口有部署评价器，采用有线呼叫器进行业务呼叫。</w:t>
            </w:r>
          </w:p>
          <w:p>
            <w:pPr>
              <w:ind w:firstLine="480"/>
              <w:jc w:val="both"/>
            </w:pPr>
            <w:r>
              <w:rPr>
                <w:color w:val="000000"/>
                <w:sz w:val="24"/>
              </w:rPr>
              <w:t>2.2</w:t>
            </w:r>
            <w:r>
              <w:rPr>
                <w:color w:val="000000"/>
                <w:sz w:val="24"/>
              </w:rPr>
              <w:t>罗定市行政服务中心部署</w:t>
            </w:r>
          </w:p>
          <w:p>
            <w:pPr>
              <w:ind w:firstLine="480"/>
              <w:jc w:val="both"/>
            </w:pPr>
            <w:r>
              <w:rPr>
                <w:color w:val="000000"/>
                <w:sz w:val="24"/>
              </w:rPr>
              <w:t>罗定市行政服务中心窗口主要集中在</w:t>
            </w:r>
            <w:r>
              <w:rPr>
                <w:color w:val="000000"/>
                <w:sz w:val="24"/>
              </w:rPr>
              <w:t>2</w:t>
            </w:r>
            <w:r>
              <w:rPr>
                <w:color w:val="000000"/>
                <w:sz w:val="24"/>
              </w:rPr>
              <w:t>、</w:t>
            </w:r>
            <w:r>
              <w:rPr>
                <w:color w:val="000000"/>
                <w:sz w:val="24"/>
              </w:rPr>
              <w:t>3</w:t>
            </w:r>
            <w:r>
              <w:rPr>
                <w:color w:val="000000"/>
                <w:sz w:val="24"/>
              </w:rPr>
              <w:t>楼。大厅采用传统的有声叫号排队系统，系统开发商是天机，目前不再支持大厅排队叫号系统的运营。所有窗口屏均为同步单色</w:t>
            </w:r>
            <w:r>
              <w:rPr>
                <w:color w:val="000000"/>
                <w:sz w:val="24"/>
              </w:rPr>
              <w:t>LED</w:t>
            </w:r>
            <w:r>
              <w:rPr>
                <w:color w:val="000000"/>
                <w:sz w:val="24"/>
              </w:rPr>
              <w:t>显示屏；大厅有排队取号机</w:t>
            </w:r>
            <w:r>
              <w:rPr>
                <w:color w:val="000000"/>
                <w:sz w:val="24"/>
              </w:rPr>
              <w:t>2</w:t>
            </w:r>
            <w:r>
              <w:rPr>
                <w:color w:val="000000"/>
                <w:sz w:val="24"/>
              </w:rPr>
              <w:t>部，大厅窗口有部署评价器，采用有线呼叫器进行业务呼叫。</w:t>
            </w:r>
          </w:p>
          <w:p>
            <w:pPr>
              <w:ind w:firstLine="480"/>
              <w:jc w:val="both"/>
            </w:pPr>
            <w:r>
              <w:rPr>
                <w:color w:val="000000"/>
                <w:sz w:val="24"/>
              </w:rPr>
              <w:t>2.3</w:t>
            </w:r>
            <w:r>
              <w:rPr>
                <w:color w:val="000000"/>
                <w:sz w:val="24"/>
              </w:rPr>
              <w:t>新兴县行政服务中心部署</w:t>
            </w:r>
          </w:p>
          <w:p>
            <w:pPr>
              <w:ind w:firstLine="480"/>
              <w:jc w:val="both"/>
            </w:pPr>
            <w:r>
              <w:rPr>
                <w:color w:val="000000"/>
                <w:sz w:val="24"/>
              </w:rPr>
              <w:t>新兴县行政服务中心窗口主要集中在</w:t>
            </w:r>
            <w:r>
              <w:rPr>
                <w:color w:val="000000"/>
                <w:sz w:val="24"/>
              </w:rPr>
              <w:t>1</w:t>
            </w:r>
            <w:r>
              <w:rPr>
                <w:color w:val="000000"/>
                <w:sz w:val="24"/>
              </w:rPr>
              <w:t>、</w:t>
            </w:r>
            <w:r>
              <w:rPr>
                <w:color w:val="000000"/>
                <w:sz w:val="24"/>
              </w:rPr>
              <w:t>2</w:t>
            </w:r>
            <w:r>
              <w:rPr>
                <w:color w:val="000000"/>
                <w:sz w:val="24"/>
              </w:rPr>
              <w:t>、</w:t>
            </w:r>
            <w:r>
              <w:rPr>
                <w:color w:val="000000"/>
                <w:sz w:val="24"/>
              </w:rPr>
              <w:t>3</w:t>
            </w:r>
            <w:r>
              <w:rPr>
                <w:color w:val="000000"/>
                <w:sz w:val="24"/>
              </w:rPr>
              <w:t>、</w:t>
            </w:r>
            <w:r>
              <w:rPr>
                <w:color w:val="000000"/>
                <w:sz w:val="24"/>
              </w:rPr>
              <w:t>4</w:t>
            </w:r>
            <w:r>
              <w:rPr>
                <w:color w:val="000000"/>
                <w:sz w:val="24"/>
              </w:rPr>
              <w:t>楼。大厅采用传统的有声叫号排队系统，单色</w:t>
            </w:r>
            <w:r>
              <w:rPr>
                <w:color w:val="000000"/>
                <w:sz w:val="24"/>
              </w:rPr>
              <w:t>4</w:t>
            </w:r>
            <w:r>
              <w:rPr>
                <w:color w:val="000000"/>
                <w:sz w:val="24"/>
              </w:rPr>
              <w:t>字</w:t>
            </w:r>
            <w:r>
              <w:rPr>
                <w:color w:val="000000"/>
                <w:sz w:val="24"/>
              </w:rPr>
              <w:t>LED</w:t>
            </w:r>
            <w:r>
              <w:rPr>
                <w:color w:val="000000"/>
                <w:sz w:val="24"/>
              </w:rPr>
              <w:t>条屏无线控制；大厅有排队取号机</w:t>
            </w:r>
            <w:r>
              <w:rPr>
                <w:color w:val="000000"/>
                <w:sz w:val="24"/>
              </w:rPr>
              <w:t>2</w:t>
            </w:r>
            <w:r>
              <w:rPr>
                <w:color w:val="000000"/>
                <w:sz w:val="24"/>
              </w:rPr>
              <w:t>部，大厅窗口有部署评价器，采用无线呼叫器进行业务呼叫。</w:t>
            </w:r>
          </w:p>
          <w:p>
            <w:pPr>
              <w:ind w:firstLine="480"/>
              <w:jc w:val="both"/>
            </w:pPr>
            <w:r>
              <w:rPr>
                <w:color w:val="000000"/>
                <w:sz w:val="24"/>
              </w:rPr>
              <w:t>2.4</w:t>
            </w:r>
            <w:r>
              <w:rPr>
                <w:color w:val="000000"/>
                <w:sz w:val="24"/>
              </w:rPr>
              <w:t>郁南县行政服务中心部署</w:t>
            </w:r>
          </w:p>
          <w:p>
            <w:pPr>
              <w:jc w:val="both"/>
            </w:pPr>
            <w:r>
              <w:rPr>
                <w:color w:val="000000"/>
                <w:sz w:val="21"/>
              </w:rPr>
              <w:t>郁南县行政服务中心窗口主要集中在</w:t>
            </w:r>
            <w:r>
              <w:rPr>
                <w:color w:val="000000"/>
                <w:sz w:val="21"/>
              </w:rPr>
              <w:t>1</w:t>
            </w:r>
            <w:r>
              <w:rPr>
                <w:color w:val="000000"/>
                <w:sz w:val="21"/>
              </w:rPr>
              <w:t>、</w:t>
            </w:r>
            <w:r>
              <w:rPr>
                <w:color w:val="000000"/>
                <w:sz w:val="21"/>
              </w:rPr>
              <w:t>2</w:t>
            </w:r>
            <w:r>
              <w:rPr>
                <w:color w:val="000000"/>
                <w:sz w:val="21"/>
              </w:rPr>
              <w:t>楼。大厅采用传统的有声叫号排队系统，单色</w:t>
            </w:r>
            <w:r>
              <w:rPr>
                <w:color w:val="000000"/>
                <w:sz w:val="21"/>
              </w:rPr>
              <w:t>4</w:t>
            </w:r>
            <w:r>
              <w:rPr>
                <w:color w:val="000000"/>
                <w:sz w:val="21"/>
              </w:rPr>
              <w:t>字</w:t>
            </w:r>
            <w:r>
              <w:rPr>
                <w:color w:val="000000"/>
                <w:sz w:val="21"/>
              </w:rPr>
              <w:t>LED</w:t>
            </w:r>
            <w:r>
              <w:rPr>
                <w:color w:val="000000"/>
                <w:sz w:val="21"/>
              </w:rPr>
              <w:t>条屏无线控制；大厅有排队取号机</w:t>
            </w:r>
            <w:r>
              <w:rPr>
                <w:color w:val="000000"/>
                <w:sz w:val="21"/>
              </w:rPr>
              <w:t>2</w:t>
            </w:r>
            <w:r>
              <w:rPr>
                <w:color w:val="000000"/>
                <w:sz w:val="21"/>
              </w:rPr>
              <w:t>部，大厅窗口有部署部分评价器，采用无线呼叫器进行业务呼叫。</w:t>
            </w:r>
          </w:p>
          <w:p>
            <w:pPr>
              <w:jc w:val="both"/>
            </w:pPr>
          </w:p>
        </w:tc>
      </w:tr>
      <w:tr>
        <w:tc>
          <w:tcPr>
            <w:tcW w:type="dxa" w:w="2076"/>
          </w:tcPr>
          <w:p/>
        </w:tc>
        <w:tc>
          <w:tcPr>
            <w:tcW w:type="dxa" w:w="415"/>
          </w:tcPr>
          <w:p>
            <w:r>
              <w:rPr/>
              <w:t>3</w:t>
            </w:r>
          </w:p>
        </w:tc>
        <w:tc>
          <w:tcPr>
            <w:tcW w:type="dxa" w:w="5814"/>
          </w:tcPr>
          <w:p>
            <w:r>
              <w:rPr>
                <w:color w:val="000000"/>
                <w:sz w:val="24"/>
              </w:rPr>
              <w:t>三、设备利旧及新增内容</w:t>
            </w:r>
          </w:p>
          <w:p>
            <w:pPr>
              <w:ind w:firstLine="480"/>
            </w:pPr>
            <w:r>
              <w:rPr>
                <w:color w:val="000000"/>
                <w:sz w:val="24"/>
              </w:rPr>
              <w:t>各中心需要增加、利旧的设备初步统计，如下：</w:t>
            </w:r>
          </w:p>
          <w:tbl>
            <w:tblPr>
              <w:tblInd w:type="dxa" w:w="120"/>
              <w:tblBorders>
                <w:top w:val="none" w:color="000000" w:sz="4"/>
                <w:left w:val="none" w:color="000000" w:sz="4"/>
                <w:bottom w:val="none" w:color="000000" w:sz="4"/>
                <w:right w:val="none" w:color="000000" w:sz="4"/>
                <w:insideH w:val="none"/>
                <w:insideV w:val="none"/>
              </w:tblBorders>
            </w:tblPr>
            <w:tblGrid>
              <w:gridCol w:w="634"/>
              <w:gridCol w:w="2351"/>
              <w:gridCol w:w="520"/>
              <w:gridCol w:w="2070"/>
            </w:tblGrid>
            <w:tr>
              <w:tc>
                <w:tcPr>
                  <w:tcW w:type="dxa" w:w="634"/>
                  <w:tcBorders>
                    <w:top w:val="single" w:color="000000" w:sz="4"/>
                    <w:left w:val="single" w:color="000000" w:sz="4"/>
                    <w:bottom w:val="single" w:color="000000" w:sz="4"/>
                    <w:right w:val="single" w:color="000000" w:sz="4"/>
                  </w:tcBorders>
                  <w:vAlign w:val="top"/>
                </w:tcPr>
                <w:p>
                  <w:r>
                    <w:rPr>
                      <w:color w:val="000000"/>
                      <w:sz w:val="24"/>
                    </w:rPr>
                    <w:t>序号</w:t>
                  </w:r>
                </w:p>
              </w:tc>
              <w:tc>
                <w:tcPr>
                  <w:tcW w:type="dxa" w:w="2351"/>
                  <w:tcBorders>
                    <w:top w:val="single" w:color="000000" w:sz="4"/>
                    <w:left w:val="none" w:color="000000" w:sz="4"/>
                    <w:bottom w:val="single" w:color="000000" w:sz="4"/>
                    <w:right w:val="single" w:color="000000" w:sz="4"/>
                  </w:tcBorders>
                  <w:vAlign w:val="top"/>
                </w:tcPr>
                <w:p>
                  <w:r>
                    <w:rPr>
                      <w:color w:val="000000"/>
                      <w:sz w:val="24"/>
                    </w:rPr>
                    <w:t>设备名称</w:t>
                  </w:r>
                </w:p>
              </w:tc>
              <w:tc>
                <w:tcPr>
                  <w:tcW w:type="dxa" w:w="520"/>
                  <w:tcBorders>
                    <w:top w:val="single" w:color="000000" w:sz="4"/>
                    <w:left w:val="none" w:color="000000" w:sz="4"/>
                    <w:bottom w:val="single" w:color="000000" w:sz="4"/>
                    <w:right w:val="single" w:color="000000" w:sz="4"/>
                  </w:tcBorders>
                  <w:vAlign w:val="top"/>
                </w:tcPr>
                <w:p>
                  <w:r>
                    <w:rPr>
                      <w:color w:val="000000"/>
                      <w:sz w:val="24"/>
                    </w:rPr>
                    <w:t>数量</w:t>
                  </w:r>
                </w:p>
              </w:tc>
              <w:tc>
                <w:tcPr>
                  <w:tcW w:type="dxa" w:w="2070"/>
                  <w:tcBorders>
                    <w:top w:val="single" w:color="000000" w:sz="4"/>
                    <w:left w:val="none" w:color="000000" w:sz="4"/>
                    <w:bottom w:val="single" w:color="000000" w:sz="4"/>
                    <w:right w:val="single" w:color="000000" w:sz="4"/>
                  </w:tcBorders>
                  <w:vAlign w:val="top"/>
                </w:tcPr>
                <w:p>
                  <w:pPr>
                    <w:ind w:firstLine="480"/>
                  </w:pPr>
                  <w:r>
                    <w:rPr>
                      <w:color w:val="000000"/>
                      <w:sz w:val="24"/>
                    </w:rPr>
                    <w:t>备注</w:t>
                  </w:r>
                </w:p>
              </w:tc>
            </w:tr>
            <w:tr>
              <w:tc>
                <w:tcPr>
                  <w:tcW w:type="dxa" w:w="634"/>
                  <w:tcBorders>
                    <w:top w:val="none" w:color="000000" w:sz="4"/>
                    <w:left w:val="single" w:color="000000" w:sz="4"/>
                    <w:bottom w:val="none" w:color="000000" w:sz="4"/>
                    <w:right w:val="single" w:color="000000" w:sz="4"/>
                  </w:tcBorders>
                  <w:vAlign w:val="top"/>
                </w:tcPr>
                <w:p>
                  <w:pPr>
                    <w:ind w:firstLine="480"/>
                  </w:pPr>
                  <w:r>
                    <w:rPr>
                      <w:color w:val="000000"/>
                      <w:sz w:val="24"/>
                    </w:rPr>
                    <w:t>1</w:t>
                  </w:r>
                </w:p>
              </w:tc>
              <w:tc>
                <w:tcPr>
                  <w:tcW w:type="dxa" w:w="2351"/>
                  <w:tcBorders>
                    <w:top w:val="none" w:color="000000" w:sz="4"/>
                    <w:left w:val="none" w:color="000000" w:sz="4"/>
                    <w:bottom w:val="single" w:color="000000" w:sz="4"/>
                    <w:right w:val="single" w:color="000000" w:sz="4"/>
                  </w:tcBorders>
                  <w:vAlign w:val="top"/>
                </w:tcPr>
                <w:p>
                  <w:r>
                    <w:rPr>
                      <w:color w:val="000000"/>
                      <w:sz w:val="24"/>
                    </w:rPr>
                    <w:t>排队取号机</w:t>
                  </w:r>
                  <w:r>
                    <w:br/>
                  </w:r>
                  <w:r>
                    <w:rPr>
                      <w:color w:val="000000"/>
                      <w:sz w:val="24"/>
                    </w:rPr>
                    <w:t>--罗定市：8台</w:t>
                  </w:r>
                  <w:r>
                    <w:br/>
                  </w:r>
                  <w:r>
                    <w:rPr>
                      <w:color w:val="000000"/>
                      <w:sz w:val="24"/>
                    </w:rPr>
                    <w:t>--云安区：1台</w:t>
                  </w:r>
                  <w:r>
                    <w:br/>
                  </w:r>
                  <w:r>
                    <w:rPr>
                      <w:color w:val="000000"/>
                      <w:sz w:val="24"/>
                    </w:rPr>
                    <w:t>--新兴县：3台</w:t>
                  </w:r>
                  <w:r>
                    <w:br/>
                  </w:r>
                  <w:r>
                    <w:rPr>
                      <w:color w:val="000000"/>
                      <w:sz w:val="24"/>
                    </w:rPr>
                    <w:t>--郁南县：4台</w:t>
                  </w:r>
                </w:p>
              </w:tc>
              <w:tc>
                <w:tcPr>
                  <w:tcW w:type="dxa" w:w="520"/>
                  <w:tcBorders>
                    <w:top w:val="none" w:color="000000" w:sz="4"/>
                    <w:left w:val="none" w:color="000000" w:sz="4"/>
                    <w:bottom w:val="single" w:color="000000" w:sz="4"/>
                    <w:right w:val="single" w:color="000000" w:sz="4"/>
                  </w:tcBorders>
                  <w:vAlign w:val="top"/>
                </w:tcPr>
                <w:p>
                  <w:pPr>
                    <w:jc w:val="center"/>
                  </w:pPr>
                  <w:r>
                    <w:rPr>
                      <w:color w:val="000000"/>
                      <w:sz w:val="24"/>
                    </w:rPr>
                    <w:t>16</w:t>
                  </w:r>
                </w:p>
              </w:tc>
              <w:tc>
                <w:tcPr>
                  <w:tcW w:type="dxa" w:w="2070"/>
                  <w:tcBorders>
                    <w:top w:val="none" w:color="000000" w:sz="4"/>
                    <w:left w:val="none" w:color="000000" w:sz="4"/>
                    <w:bottom w:val="single" w:color="000000" w:sz="4"/>
                    <w:right w:val="single" w:color="000000" w:sz="4"/>
                  </w:tcBorders>
                  <w:vAlign w:val="top"/>
                </w:tcPr>
                <w:p>
                  <w:pPr>
                    <w:jc w:val="center"/>
                  </w:pPr>
                  <w:r>
                    <w:rPr>
                      <w:color w:val="000000"/>
                      <w:sz w:val="24"/>
                    </w:rPr>
                    <w:t>新增</w:t>
                  </w:r>
                </w:p>
              </w:tc>
            </w:tr>
            <w:tr>
              <w:tc>
                <w:tcPr>
                  <w:tcW w:type="dxa" w:w="634"/>
                  <w:tcBorders>
                    <w:top w:val="single" w:color="000000" w:sz="4"/>
                    <w:left w:val="single" w:color="000000" w:sz="4"/>
                    <w:bottom w:val="single" w:color="000000" w:sz="4"/>
                    <w:right w:val="single" w:color="000000" w:sz="4"/>
                  </w:tcBorders>
                  <w:vAlign w:val="top"/>
                </w:tcPr>
                <w:p>
                  <w:pPr>
                    <w:ind w:firstLine="480"/>
                  </w:pPr>
                  <w:r>
                    <w:rPr>
                      <w:color w:val="000000"/>
                      <w:sz w:val="24"/>
                    </w:rPr>
                    <w:t>2</w:t>
                  </w:r>
                </w:p>
              </w:tc>
              <w:tc>
                <w:tcPr>
                  <w:tcW w:type="dxa" w:w="2351"/>
                  <w:tcBorders>
                    <w:top w:val="none" w:color="000000" w:sz="4"/>
                    <w:left w:val="none" w:color="000000" w:sz="4"/>
                    <w:bottom w:val="single" w:color="000000" w:sz="4"/>
                    <w:right w:val="single" w:color="000000" w:sz="4"/>
                  </w:tcBorders>
                  <w:vAlign w:val="top"/>
                </w:tcPr>
                <w:p>
                  <w:r>
                    <w:rPr>
                      <w:color w:val="000000"/>
                      <w:sz w:val="24"/>
                    </w:rPr>
                    <w:t>窗口叫号机</w:t>
                  </w:r>
                  <w:r>
                    <w:br/>
                  </w:r>
                  <w:r>
                    <w:rPr>
                      <w:color w:val="000000"/>
                      <w:sz w:val="24"/>
                    </w:rPr>
                    <w:t>--罗定市：118台</w:t>
                  </w:r>
                  <w:r>
                    <w:br/>
                  </w:r>
                  <w:r>
                    <w:rPr>
                      <w:color w:val="000000"/>
                      <w:sz w:val="24"/>
                    </w:rPr>
                    <w:t>--云安区：62台</w:t>
                  </w:r>
                  <w:r>
                    <w:br/>
                  </w:r>
                  <w:r>
                    <w:rPr>
                      <w:color w:val="000000"/>
                      <w:sz w:val="24"/>
                    </w:rPr>
                    <w:t>--新兴县：86台</w:t>
                  </w:r>
                  <w:r>
                    <w:br/>
                  </w:r>
                  <w:r>
                    <w:rPr>
                      <w:color w:val="000000"/>
                      <w:sz w:val="24"/>
                    </w:rPr>
                    <w:t>--郁南县：56台</w:t>
                  </w:r>
                </w:p>
              </w:tc>
              <w:tc>
                <w:tcPr>
                  <w:tcW w:type="dxa" w:w="520"/>
                  <w:tcBorders>
                    <w:top w:val="none" w:color="000000" w:sz="4"/>
                    <w:left w:val="none" w:color="000000" w:sz="4"/>
                    <w:bottom w:val="single" w:color="000000" w:sz="4"/>
                    <w:right w:val="single" w:color="000000" w:sz="4"/>
                  </w:tcBorders>
                  <w:vAlign w:val="top"/>
                </w:tcPr>
                <w:p>
                  <w:pPr>
                    <w:jc w:val="center"/>
                  </w:pPr>
                  <w:r>
                    <w:rPr>
                      <w:color w:val="000000"/>
                      <w:sz w:val="24"/>
                    </w:rPr>
                    <w:t>322</w:t>
                  </w:r>
                </w:p>
              </w:tc>
              <w:tc>
                <w:tcPr>
                  <w:tcW w:type="dxa" w:w="2070"/>
                  <w:tcBorders>
                    <w:top w:val="none" w:color="000000" w:sz="4"/>
                    <w:left w:val="none" w:color="000000" w:sz="4"/>
                    <w:bottom w:val="single" w:color="000000" w:sz="4"/>
                    <w:right w:val="single" w:color="000000" w:sz="4"/>
                  </w:tcBorders>
                  <w:vAlign w:val="top"/>
                </w:tcPr>
                <w:p>
                  <w:pPr>
                    <w:jc w:val="center"/>
                  </w:pPr>
                  <w:r>
                    <w:rPr>
                      <w:color w:val="000000"/>
                      <w:sz w:val="24"/>
                    </w:rPr>
                    <w:t>新增</w:t>
                  </w:r>
                </w:p>
              </w:tc>
            </w:tr>
            <w:tr>
              <w:tc>
                <w:tcPr>
                  <w:tcW w:type="dxa" w:w="634"/>
                  <w:tcBorders>
                    <w:top w:val="none" w:color="000000" w:sz="4"/>
                    <w:left w:val="single" w:color="000000" w:sz="4"/>
                    <w:bottom w:val="single" w:color="000000" w:sz="4"/>
                    <w:right w:val="single" w:color="000000" w:sz="4"/>
                  </w:tcBorders>
                  <w:vAlign w:val="top"/>
                </w:tcPr>
                <w:p>
                  <w:pPr>
                    <w:ind w:firstLine="480"/>
                  </w:pPr>
                  <w:r>
                    <w:rPr>
                      <w:color w:val="000000"/>
                      <w:sz w:val="24"/>
                    </w:rPr>
                    <w:t>3</w:t>
                  </w:r>
                </w:p>
              </w:tc>
              <w:tc>
                <w:tcPr>
                  <w:tcW w:type="dxa" w:w="2351"/>
                  <w:tcBorders>
                    <w:top w:val="none" w:color="000000" w:sz="4"/>
                    <w:left w:val="none" w:color="000000" w:sz="4"/>
                    <w:bottom w:val="single" w:color="000000" w:sz="4"/>
                    <w:right w:val="single" w:color="000000" w:sz="4"/>
                  </w:tcBorders>
                  <w:vAlign w:val="top"/>
                </w:tcPr>
                <w:p>
                  <w:r>
                    <w:rPr>
                      <w:color w:val="000000"/>
                      <w:sz w:val="24"/>
                    </w:rPr>
                    <w:t>通体窗口显示屏展示改造</w:t>
                  </w:r>
                  <w:r>
                    <w:br/>
                  </w:r>
                  <w:r>
                    <w:rPr>
                      <w:color w:val="000000"/>
                      <w:sz w:val="24"/>
                    </w:rPr>
                    <w:t>--罗定市：118台</w:t>
                  </w:r>
                  <w:r>
                    <w:br/>
                  </w:r>
                  <w:r>
                    <w:rPr>
                      <w:color w:val="000000"/>
                      <w:sz w:val="24"/>
                    </w:rPr>
                    <w:t>--云安区：62台</w:t>
                  </w:r>
                  <w:r>
                    <w:br/>
                  </w:r>
                  <w:r>
                    <w:rPr>
                      <w:color w:val="000000"/>
                      <w:sz w:val="24"/>
                    </w:rPr>
                    <w:t>--新兴县：86台</w:t>
                  </w:r>
                  <w:r>
                    <w:br/>
                  </w:r>
                  <w:r>
                    <w:rPr>
                      <w:color w:val="000000"/>
                      <w:sz w:val="24"/>
                    </w:rPr>
                    <w:t>--郁南县：56台</w:t>
                  </w:r>
                </w:p>
              </w:tc>
              <w:tc>
                <w:tcPr>
                  <w:tcW w:type="dxa" w:w="520"/>
                  <w:tcBorders>
                    <w:top w:val="none" w:color="000000" w:sz="4"/>
                    <w:left w:val="none" w:color="000000" w:sz="4"/>
                    <w:bottom w:val="single" w:color="000000" w:sz="4"/>
                    <w:right w:val="single" w:color="000000" w:sz="4"/>
                  </w:tcBorders>
                  <w:vAlign w:val="top"/>
                </w:tcPr>
                <w:p>
                  <w:pPr>
                    <w:jc w:val="center"/>
                  </w:pPr>
                  <w:r>
                    <w:rPr>
                      <w:color w:val="000000"/>
                      <w:sz w:val="24"/>
                    </w:rPr>
                    <w:t>322</w:t>
                  </w:r>
                </w:p>
              </w:tc>
              <w:tc>
                <w:tcPr>
                  <w:tcW w:type="dxa" w:w="2070"/>
                  <w:tcBorders>
                    <w:top w:val="none" w:color="000000" w:sz="4"/>
                    <w:left w:val="none" w:color="000000" w:sz="4"/>
                    <w:bottom w:val="single" w:color="000000" w:sz="4"/>
                    <w:right w:val="single" w:color="000000" w:sz="4"/>
                  </w:tcBorders>
                  <w:vAlign w:val="top"/>
                </w:tcPr>
                <w:p>
                  <w:pPr>
                    <w:jc w:val="center"/>
                  </w:pPr>
                  <w:r>
                    <w:rPr>
                      <w:color w:val="000000"/>
                      <w:sz w:val="24"/>
                    </w:rPr>
                    <w:t>利旧改造</w:t>
                  </w:r>
                </w:p>
              </w:tc>
            </w:tr>
            <w:tr>
              <w:tc>
                <w:tcPr>
                  <w:tcW w:type="dxa" w:w="634"/>
                  <w:tcBorders>
                    <w:top w:val="none" w:color="000000" w:sz="4"/>
                    <w:left w:val="single" w:color="000000" w:sz="4"/>
                    <w:bottom w:val="single" w:color="000000" w:sz="4"/>
                    <w:right w:val="single" w:color="000000" w:sz="4"/>
                  </w:tcBorders>
                  <w:vAlign w:val="top"/>
                </w:tcPr>
                <w:p>
                  <w:pPr>
                    <w:ind w:firstLine="480"/>
                  </w:pPr>
                  <w:r>
                    <w:rPr>
                      <w:color w:val="000000"/>
                      <w:sz w:val="24"/>
                    </w:rPr>
                    <w:t>4</w:t>
                  </w:r>
                </w:p>
              </w:tc>
              <w:tc>
                <w:tcPr>
                  <w:tcW w:type="dxa" w:w="2351"/>
                  <w:tcBorders>
                    <w:top w:val="none" w:color="000000" w:sz="4"/>
                    <w:left w:val="none" w:color="000000" w:sz="4"/>
                    <w:bottom w:val="single" w:color="000000" w:sz="4"/>
                    <w:right w:val="single" w:color="000000" w:sz="4"/>
                  </w:tcBorders>
                  <w:vAlign w:val="top"/>
                </w:tcPr>
                <w:p>
                  <w:r>
                    <w:rPr>
                      <w:color w:val="000000"/>
                      <w:sz w:val="24"/>
                    </w:rPr>
                    <w:t>集中显示屏</w:t>
                  </w:r>
                  <w:r>
                    <w:br/>
                  </w:r>
                  <w:r>
                    <w:rPr>
                      <w:color w:val="000000"/>
                      <w:sz w:val="24"/>
                    </w:rPr>
                    <w:t>--罗定市：4台</w:t>
                  </w:r>
                  <w:r>
                    <w:br/>
                  </w:r>
                  <w:r>
                    <w:rPr>
                      <w:color w:val="000000"/>
                      <w:sz w:val="24"/>
                    </w:rPr>
                    <w:t>--云安区：4台</w:t>
                  </w:r>
                  <w:r>
                    <w:br/>
                  </w:r>
                  <w:r>
                    <w:rPr>
                      <w:color w:val="000000"/>
                      <w:sz w:val="24"/>
                    </w:rPr>
                    <w:t>--郁南县：5台</w:t>
                  </w:r>
                </w:p>
              </w:tc>
              <w:tc>
                <w:tcPr>
                  <w:tcW w:type="dxa" w:w="520"/>
                  <w:tcBorders>
                    <w:top w:val="none" w:color="000000" w:sz="4"/>
                    <w:left w:val="none" w:color="000000" w:sz="4"/>
                    <w:bottom w:val="single" w:color="000000" w:sz="4"/>
                    <w:right w:val="single" w:color="000000" w:sz="4"/>
                  </w:tcBorders>
                  <w:vAlign w:val="top"/>
                </w:tcPr>
                <w:p>
                  <w:pPr>
                    <w:jc w:val="center"/>
                  </w:pPr>
                  <w:r>
                    <w:rPr>
                      <w:color w:val="000000"/>
                      <w:sz w:val="24"/>
                    </w:rPr>
                    <w:t>13</w:t>
                  </w:r>
                </w:p>
              </w:tc>
              <w:tc>
                <w:tcPr>
                  <w:tcW w:type="dxa" w:w="2070"/>
                  <w:tcBorders>
                    <w:top w:val="none" w:color="000000" w:sz="4"/>
                    <w:left w:val="none" w:color="000000" w:sz="4"/>
                    <w:bottom w:val="single" w:color="000000" w:sz="4"/>
                    <w:right w:val="single" w:color="000000" w:sz="4"/>
                  </w:tcBorders>
                  <w:vAlign w:val="top"/>
                </w:tcPr>
                <w:p>
                  <w:pPr>
                    <w:jc w:val="center"/>
                  </w:pPr>
                  <w:r>
                    <w:rPr>
                      <w:color w:val="000000"/>
                      <w:sz w:val="24"/>
                    </w:rPr>
                    <w:t>新增</w:t>
                  </w:r>
                </w:p>
              </w:tc>
            </w:tr>
            <w:tr>
              <w:tc>
                <w:tcPr>
                  <w:tcW w:type="dxa" w:w="634"/>
                  <w:tcBorders>
                    <w:top w:val="none" w:color="000000" w:sz="4"/>
                    <w:left w:val="single" w:color="000000" w:sz="4"/>
                    <w:bottom w:val="single" w:color="000000" w:sz="4"/>
                    <w:right w:val="single" w:color="000000" w:sz="4"/>
                  </w:tcBorders>
                  <w:vAlign w:val="top"/>
                </w:tcPr>
                <w:p>
                  <w:pPr>
                    <w:ind w:firstLine="480"/>
                  </w:pPr>
                  <w:r>
                    <w:rPr>
                      <w:color w:val="000000"/>
                      <w:sz w:val="24"/>
                    </w:rPr>
                    <w:t>5</w:t>
                  </w:r>
                </w:p>
              </w:tc>
              <w:tc>
                <w:tcPr>
                  <w:tcW w:type="dxa" w:w="2351"/>
                  <w:tcBorders>
                    <w:top w:val="none" w:color="000000" w:sz="4"/>
                    <w:left w:val="none" w:color="000000" w:sz="4"/>
                    <w:bottom w:val="single" w:color="000000" w:sz="4"/>
                    <w:right w:val="single" w:color="000000" w:sz="4"/>
                  </w:tcBorders>
                  <w:vAlign w:val="top"/>
                </w:tcPr>
                <w:p>
                  <w:r>
                    <w:rPr>
                      <w:color w:val="000000"/>
                      <w:sz w:val="24"/>
                    </w:rPr>
                    <w:t>集中显示屏信息展示改造</w:t>
                  </w:r>
                  <w:r>
                    <w:br/>
                  </w:r>
                  <w:r>
                    <w:rPr>
                      <w:color w:val="000000"/>
                      <w:sz w:val="24"/>
                    </w:rPr>
                    <w:t>--罗定市：4台</w:t>
                  </w:r>
                  <w:r>
                    <w:br/>
                  </w:r>
                  <w:r>
                    <w:rPr>
                      <w:color w:val="000000"/>
                      <w:sz w:val="24"/>
                    </w:rPr>
                    <w:t>--云安区：4台</w:t>
                  </w:r>
                  <w:r>
                    <w:br/>
                  </w:r>
                  <w:r>
                    <w:rPr>
                      <w:color w:val="000000"/>
                      <w:sz w:val="24"/>
                    </w:rPr>
                    <w:t>--新兴县：8台</w:t>
                  </w:r>
                  <w:r>
                    <w:br/>
                  </w:r>
                  <w:r>
                    <w:rPr>
                      <w:color w:val="000000"/>
                      <w:sz w:val="24"/>
                    </w:rPr>
                    <w:t>--郁南县：3台</w:t>
                  </w:r>
                </w:p>
              </w:tc>
              <w:tc>
                <w:tcPr>
                  <w:tcW w:type="dxa" w:w="520"/>
                  <w:tcBorders>
                    <w:top w:val="none" w:color="000000" w:sz="4"/>
                    <w:left w:val="none" w:color="000000" w:sz="4"/>
                    <w:bottom w:val="single" w:color="000000" w:sz="4"/>
                    <w:right w:val="single" w:color="000000" w:sz="4"/>
                  </w:tcBorders>
                  <w:vAlign w:val="top"/>
                </w:tcPr>
                <w:p>
                  <w:pPr>
                    <w:jc w:val="center"/>
                  </w:pPr>
                  <w:r>
                    <w:rPr>
                      <w:color w:val="000000"/>
                      <w:sz w:val="24"/>
                    </w:rPr>
                    <w:t>19</w:t>
                  </w:r>
                </w:p>
              </w:tc>
              <w:tc>
                <w:tcPr>
                  <w:tcW w:type="dxa" w:w="2070"/>
                  <w:tcBorders>
                    <w:top w:val="none" w:color="000000" w:sz="4"/>
                    <w:left w:val="none" w:color="000000" w:sz="4"/>
                    <w:bottom w:val="single" w:color="000000" w:sz="4"/>
                    <w:right w:val="single" w:color="000000" w:sz="4"/>
                  </w:tcBorders>
                  <w:vAlign w:val="top"/>
                </w:tcPr>
                <w:p>
                  <w:pPr>
                    <w:jc w:val="center"/>
                  </w:pPr>
                  <w:r>
                    <w:rPr>
                      <w:color w:val="000000"/>
                      <w:sz w:val="24"/>
                    </w:rPr>
                    <w:t>利旧改造</w:t>
                  </w:r>
                </w:p>
              </w:tc>
            </w:tr>
            <w:tr>
              <w:tc>
                <w:tcPr>
                  <w:tcW w:type="dxa" w:w="634"/>
                  <w:tcBorders>
                    <w:top w:val="none" w:color="000000" w:sz="4"/>
                    <w:left w:val="single" w:color="000000" w:sz="4"/>
                    <w:bottom w:val="single" w:color="000000" w:sz="4"/>
                    <w:right w:val="single" w:color="000000" w:sz="4"/>
                  </w:tcBorders>
                  <w:vAlign w:val="top"/>
                </w:tcPr>
                <w:p>
                  <w:pPr>
                    <w:ind w:firstLine="480"/>
                  </w:pPr>
                  <w:r>
                    <w:rPr>
                      <w:color w:val="000000"/>
                      <w:sz w:val="24"/>
                    </w:rPr>
                    <w:t>6</w:t>
                  </w:r>
                </w:p>
              </w:tc>
              <w:tc>
                <w:tcPr>
                  <w:tcW w:type="dxa" w:w="2351"/>
                  <w:tcBorders>
                    <w:top w:val="none" w:color="000000" w:sz="4"/>
                    <w:left w:val="none" w:color="000000" w:sz="4"/>
                    <w:bottom w:val="single" w:color="000000" w:sz="4"/>
                    <w:right w:val="single" w:color="000000" w:sz="4"/>
                  </w:tcBorders>
                  <w:vAlign w:val="top"/>
                </w:tcPr>
                <w:p>
                  <w:r>
                    <w:rPr>
                      <w:color w:val="000000"/>
                      <w:sz w:val="24"/>
                    </w:rPr>
                    <w:t>窗口评价器</w:t>
                  </w:r>
                  <w:r>
                    <w:br/>
                  </w:r>
                  <w:r>
                    <w:rPr>
                      <w:color w:val="000000"/>
                      <w:sz w:val="24"/>
                    </w:rPr>
                    <w:t>--罗定市：49台</w:t>
                  </w:r>
                  <w:r>
                    <w:br/>
                  </w:r>
                  <w:r>
                    <w:rPr>
                      <w:color w:val="000000"/>
                      <w:sz w:val="24"/>
                    </w:rPr>
                    <w:t>--云安区：62台</w:t>
                  </w:r>
                  <w:r>
                    <w:br/>
                  </w:r>
                  <w:r>
                    <w:rPr>
                      <w:color w:val="000000"/>
                      <w:sz w:val="24"/>
                    </w:rPr>
                    <w:t>--新兴县：86台</w:t>
                  </w:r>
                  <w:r>
                    <w:br/>
                  </w:r>
                  <w:r>
                    <w:rPr>
                      <w:color w:val="000000"/>
                      <w:sz w:val="24"/>
                    </w:rPr>
                    <w:t>--郁南县：16台</w:t>
                  </w:r>
                </w:p>
              </w:tc>
              <w:tc>
                <w:tcPr>
                  <w:tcW w:type="dxa" w:w="520"/>
                  <w:tcBorders>
                    <w:top w:val="none" w:color="000000" w:sz="4"/>
                    <w:left w:val="none" w:color="000000" w:sz="4"/>
                    <w:bottom w:val="single" w:color="000000" w:sz="4"/>
                    <w:right w:val="single" w:color="000000" w:sz="4"/>
                  </w:tcBorders>
                  <w:vAlign w:val="top"/>
                </w:tcPr>
                <w:p>
                  <w:pPr>
                    <w:jc w:val="center"/>
                  </w:pPr>
                  <w:r>
                    <w:rPr>
                      <w:color w:val="000000"/>
                      <w:sz w:val="24"/>
                    </w:rPr>
                    <w:t>213</w:t>
                  </w:r>
                </w:p>
              </w:tc>
              <w:tc>
                <w:tcPr>
                  <w:tcW w:type="dxa" w:w="2070"/>
                  <w:tcBorders>
                    <w:top w:val="none" w:color="000000" w:sz="4"/>
                    <w:left w:val="none" w:color="000000" w:sz="4"/>
                    <w:bottom w:val="single" w:color="000000" w:sz="4"/>
                    <w:right w:val="single" w:color="000000" w:sz="4"/>
                  </w:tcBorders>
                  <w:vAlign w:val="top"/>
                </w:tcPr>
                <w:p>
                  <w:pPr>
                    <w:jc w:val="center"/>
                  </w:pPr>
                  <w:r>
                    <w:rPr>
                      <w:color w:val="000000"/>
                      <w:sz w:val="24"/>
                    </w:rPr>
                    <w:t>新增</w:t>
                  </w:r>
                </w:p>
              </w:tc>
            </w:tr>
            <w:tr>
              <w:tc>
                <w:tcPr>
                  <w:tcW w:type="dxa" w:w="634"/>
                  <w:tcBorders>
                    <w:top w:val="none" w:color="000000" w:sz="4"/>
                    <w:left w:val="single" w:color="000000" w:sz="4"/>
                    <w:bottom w:val="single" w:color="000000" w:sz="4"/>
                    <w:right w:val="single" w:color="000000" w:sz="4"/>
                  </w:tcBorders>
                  <w:vAlign w:val="top"/>
                </w:tcPr>
                <w:p>
                  <w:pPr>
                    <w:ind w:firstLine="480"/>
                  </w:pPr>
                  <w:r>
                    <w:rPr>
                      <w:color w:val="000000"/>
                      <w:sz w:val="24"/>
                    </w:rPr>
                    <w:t>7</w:t>
                  </w:r>
                </w:p>
              </w:tc>
              <w:tc>
                <w:tcPr>
                  <w:tcW w:type="dxa" w:w="2351"/>
                  <w:tcBorders>
                    <w:top w:val="none" w:color="000000" w:sz="4"/>
                    <w:left w:val="none" w:color="000000" w:sz="4"/>
                    <w:bottom w:val="single" w:color="000000" w:sz="4"/>
                    <w:right w:val="single" w:color="000000" w:sz="4"/>
                  </w:tcBorders>
                  <w:vAlign w:val="top"/>
                </w:tcPr>
                <w:p>
                  <w:pPr>
                    <w:ind w:firstLine="480"/>
                  </w:pPr>
                  <w:r>
                    <w:rPr>
                      <w:color w:val="000000"/>
                      <w:sz w:val="24"/>
                    </w:rPr>
                    <w:t>排队叫号系统</w:t>
                  </w:r>
                  <w:r>
                    <w:rPr>
                      <w:color w:val="000000"/>
                      <w:sz w:val="24"/>
                    </w:rPr>
                    <w:t>(软件)</w:t>
                  </w:r>
                </w:p>
              </w:tc>
              <w:tc>
                <w:tcPr>
                  <w:tcW w:type="dxa" w:w="520"/>
                  <w:tcBorders>
                    <w:top w:val="none" w:color="000000" w:sz="4"/>
                    <w:left w:val="none" w:color="000000" w:sz="4"/>
                    <w:bottom w:val="single" w:color="000000" w:sz="4"/>
                    <w:right w:val="none" w:color="000000" w:sz="4"/>
                  </w:tcBorders>
                  <w:vAlign w:val="top"/>
                </w:tcPr>
                <w:p>
                  <w:pPr>
                    <w:jc w:val="center"/>
                  </w:pPr>
                  <w:r>
                    <w:rPr>
                      <w:color w:val="000000"/>
                      <w:sz w:val="24"/>
                    </w:rPr>
                    <w:t>1</w:t>
                  </w:r>
                </w:p>
              </w:tc>
              <w:tc>
                <w:tcPr>
                  <w:tcW w:type="dxa" w:w="2070"/>
                  <w:vMerge w:val="restart"/>
                  <w:tcBorders>
                    <w:top w:val="none" w:color="000000" w:sz="4"/>
                    <w:left w:val="single" w:color="000000" w:sz="4"/>
                    <w:bottom w:val="single" w:color="000000" w:sz="4"/>
                    <w:right w:val="single" w:color="000000" w:sz="4"/>
                  </w:tcBorders>
                  <w:vAlign w:val="top"/>
                </w:tcPr>
                <w:p>
                  <w:r>
                    <w:rPr>
                      <w:color w:val="000000"/>
                      <w:sz w:val="24"/>
                    </w:rPr>
                    <w:t>包含云安、郁南、新兴、罗定各中心的排队叫号部署，旧改。</w:t>
                  </w:r>
                </w:p>
              </w:tc>
            </w:tr>
            <w:tr>
              <w:tc>
                <w:tcPr>
                  <w:tcW w:type="dxa" w:w="634"/>
                  <w:tcBorders>
                    <w:top w:val="none" w:color="000000" w:sz="4"/>
                    <w:left w:val="single" w:color="000000" w:sz="4"/>
                    <w:bottom w:val="single" w:color="000000" w:sz="4"/>
                    <w:right w:val="single" w:color="000000" w:sz="4"/>
                  </w:tcBorders>
                  <w:vAlign w:val="top"/>
                </w:tcPr>
                <w:p>
                  <w:pPr>
                    <w:ind w:firstLine="480"/>
                  </w:pPr>
                  <w:r>
                    <w:rPr>
                      <w:color w:val="000000"/>
                      <w:sz w:val="24"/>
                    </w:rPr>
                    <w:t>8</w:t>
                  </w:r>
                </w:p>
              </w:tc>
              <w:tc>
                <w:tcPr>
                  <w:tcW w:type="dxa" w:w="2351"/>
                  <w:tcBorders>
                    <w:top w:val="none" w:color="000000" w:sz="4"/>
                    <w:left w:val="none" w:color="000000" w:sz="4"/>
                    <w:bottom w:val="single" w:color="000000" w:sz="4"/>
                    <w:right w:val="single" w:color="000000" w:sz="4"/>
                  </w:tcBorders>
                  <w:vAlign w:val="top"/>
                </w:tcPr>
                <w:p>
                  <w:pPr>
                    <w:ind w:firstLine="480"/>
                  </w:pPr>
                  <w:r>
                    <w:rPr>
                      <w:color w:val="000000"/>
                      <w:sz w:val="24"/>
                    </w:rPr>
                    <w:t>排队叫号系统整体运营</w:t>
                  </w:r>
                </w:p>
              </w:tc>
              <w:tc>
                <w:tcPr>
                  <w:tcW w:type="dxa" w:w="520"/>
                  <w:tcBorders>
                    <w:top w:val="none" w:color="000000" w:sz="4"/>
                    <w:left w:val="none" w:color="000000" w:sz="4"/>
                    <w:bottom w:val="single" w:color="000000" w:sz="4"/>
                    <w:right w:val="single" w:color="000000" w:sz="4"/>
                  </w:tcBorders>
                  <w:vAlign w:val="top"/>
                </w:tcPr>
                <w:p>
                  <w:pPr>
                    <w:ind w:firstLine="240"/>
                  </w:pPr>
                  <w:r>
                    <w:rPr>
                      <w:color w:val="000000"/>
                      <w:sz w:val="24"/>
                    </w:rPr>
                    <w:t>1</w:t>
                  </w:r>
                </w:p>
              </w:tc>
            </w:tr>
          </w:tbl>
          <w:p>
            <w:pPr>
              <w:jc w:val="both"/>
            </w:pPr>
            <w:r>
              <w:rPr>
                <w:b/>
                <w:color w:val="000000"/>
                <w:sz w:val="21"/>
              </w:rPr>
              <w:t>备注：</w:t>
            </w:r>
            <w:r>
              <w:rPr>
                <w:color w:val="000000"/>
                <w:sz w:val="21"/>
              </w:rPr>
              <w:t>本表为各县区行政服务中心需要新增或利旧的设备数量，新增设备参数要求详见四、</w:t>
            </w:r>
            <w:r>
              <w:rPr>
                <w:b/>
                <w:color w:val="000000"/>
                <w:sz w:val="21"/>
              </w:rPr>
              <w:t>新增设备参数要求</w:t>
            </w:r>
            <w:r>
              <w:rPr>
                <w:color w:val="000000"/>
                <w:sz w:val="21"/>
              </w:rPr>
              <w:t>。</w:t>
            </w:r>
          </w:p>
        </w:tc>
      </w:tr>
      <w:tr>
        <w:tc>
          <w:tcPr>
            <w:tcW w:type="dxa" w:w="2076"/>
          </w:tcPr>
          <w:p>
            <w:r>
              <w:rPr/>
              <w:t>▲</w:t>
            </w:r>
          </w:p>
        </w:tc>
        <w:tc>
          <w:tcPr>
            <w:tcW w:type="dxa" w:w="415"/>
          </w:tcPr>
          <w:p>
            <w:r>
              <w:rPr/>
              <w:t>4</w:t>
            </w:r>
          </w:p>
        </w:tc>
        <w:tc>
          <w:tcPr>
            <w:tcW w:type="dxa" w:w="5814"/>
          </w:tcPr>
          <w:p>
            <w:r>
              <w:rPr>
                <w:color w:val="000000"/>
                <w:sz w:val="24"/>
              </w:rPr>
              <w:t>四、新增设备参数要求</w:t>
            </w:r>
          </w:p>
          <w:tbl>
            <w:tblPr>
              <w:tblBorders>
                <w:top w:val="none" w:color="000000" w:sz="4"/>
                <w:left w:val="none" w:color="000000" w:sz="4"/>
                <w:bottom w:val="none" w:color="000000" w:sz="4"/>
                <w:right w:val="none" w:color="000000" w:sz="4"/>
                <w:insideH w:val="none"/>
                <w:insideV w:val="none"/>
              </w:tblBorders>
            </w:tblPr>
            <w:tblGrid>
              <w:gridCol w:w="1399"/>
              <w:gridCol w:w="1399"/>
              <w:gridCol w:w="1399"/>
              <w:gridCol w:w="1399"/>
            </w:tblGrid>
            <w:tr>
              <w:tc>
                <w:tcPr>
                  <w:tcW w:type="dxa" w:w="1399"/>
                  <w:tcBorders>
                    <w:top w:val="single" w:color="000000" w:sz="4"/>
                    <w:left w:val="single" w:color="000000" w:sz="4"/>
                    <w:bottom w:val="single" w:color="000000" w:sz="4"/>
                    <w:right w:val="single" w:color="000000" w:sz="4"/>
                  </w:tcBorders>
                  <w:vAlign w:val="top"/>
                </w:tcPr>
                <w:p>
                  <w:pPr>
                    <w:jc w:val="center"/>
                  </w:pPr>
                  <w:r>
                    <w:rPr>
                      <w:b/>
                      <w:color w:val="000000"/>
                      <w:sz w:val="24"/>
                    </w:rPr>
                    <w:t>序号</w:t>
                  </w:r>
                </w:p>
              </w:tc>
              <w:tc>
                <w:tcPr>
                  <w:tcW w:type="dxa" w:w="1399"/>
                  <w:tcBorders>
                    <w:top w:val="single" w:color="000000" w:sz="4"/>
                    <w:left w:val="single" w:color="000000" w:sz="4"/>
                    <w:bottom w:val="single" w:color="000000" w:sz="4"/>
                    <w:right w:val="single" w:color="000000" w:sz="4"/>
                  </w:tcBorders>
                  <w:vAlign w:val="top"/>
                </w:tcPr>
                <w:p>
                  <w:pPr>
                    <w:jc w:val="center"/>
                  </w:pPr>
                  <w:r>
                    <w:rPr>
                      <w:b/>
                      <w:color w:val="000000"/>
                      <w:sz w:val="24"/>
                    </w:rPr>
                    <w:t>名称</w:t>
                  </w:r>
                </w:p>
              </w:tc>
              <w:tc>
                <w:tcPr>
                  <w:tcW w:type="dxa" w:w="1399"/>
                  <w:tcBorders>
                    <w:top w:val="single" w:color="000000" w:sz="4"/>
                    <w:left w:val="single" w:color="000000" w:sz="4"/>
                    <w:bottom w:val="single" w:color="000000" w:sz="4"/>
                    <w:right w:val="single" w:color="000000" w:sz="4"/>
                  </w:tcBorders>
                  <w:vAlign w:val="top"/>
                </w:tcPr>
                <w:p>
                  <w:pPr>
                    <w:jc w:val="center"/>
                  </w:pPr>
                  <w:r>
                    <w:rPr>
                      <w:b/>
                      <w:color w:val="000000"/>
                      <w:sz w:val="24"/>
                    </w:rPr>
                    <w:t>技术需求</w:t>
                  </w:r>
                </w:p>
              </w:tc>
              <w:tc>
                <w:tcPr>
                  <w:tcW w:type="dxa" w:w="1399"/>
                  <w:tcBorders>
                    <w:top w:val="single" w:color="000000" w:sz="4"/>
                    <w:left w:val="single" w:color="000000" w:sz="4"/>
                    <w:bottom w:val="single" w:color="000000" w:sz="4"/>
                    <w:right w:val="single" w:color="000000" w:sz="4"/>
                  </w:tcBorders>
                  <w:vAlign w:val="top"/>
                </w:tcPr>
                <w:p>
                  <w:pPr>
                    <w:jc w:val="center"/>
                  </w:pPr>
                  <w:r>
                    <w:rPr>
                      <w:b/>
                      <w:color w:val="000000"/>
                      <w:sz w:val="24"/>
                    </w:rPr>
                    <w:t>数量</w:t>
                  </w:r>
                </w:p>
                <w:p>
                  <w:pPr>
                    <w:jc w:val="center"/>
                  </w:pPr>
                  <w:r>
                    <w:rPr>
                      <w:b/>
                      <w:color w:val="000000"/>
                      <w:sz w:val="24"/>
                    </w:rPr>
                    <w:t>（台</w:t>
                  </w:r>
                  <w:r>
                    <w:rPr>
                      <w:b/>
                      <w:color w:val="000000"/>
                      <w:sz w:val="24"/>
                    </w:rPr>
                    <w:t>/套）</w:t>
                  </w:r>
                </w:p>
              </w:tc>
            </w:tr>
            <w:tr>
              <w:tc>
                <w:tcPr>
                  <w:tcW w:type="dxa" w:w="1399"/>
                  <w:tcBorders>
                    <w:top w:val="none" w:color="000000" w:sz="4"/>
                    <w:left w:val="single" w:color="000000" w:sz="4"/>
                    <w:bottom w:val="single" w:color="000000" w:sz="4"/>
                    <w:right w:val="single" w:color="000000" w:sz="4"/>
                  </w:tcBorders>
                  <w:vAlign w:val="top"/>
                </w:tcPr>
                <w:p>
                  <w:pPr>
                    <w:jc w:val="center"/>
                  </w:pPr>
                  <w:r>
                    <w:rPr>
                      <w:b/>
                      <w:color w:val="000000"/>
                      <w:sz w:val="24"/>
                    </w:rPr>
                    <w:t>1</w:t>
                  </w:r>
                </w:p>
              </w:tc>
              <w:tc>
                <w:tcPr>
                  <w:tcW w:type="dxa" w:w="1399"/>
                  <w:tcBorders>
                    <w:top w:val="none" w:color="000000" w:sz="4"/>
                    <w:left w:val="single" w:color="000000" w:sz="4"/>
                    <w:bottom w:val="single" w:color="000000" w:sz="4"/>
                    <w:right w:val="single" w:color="000000" w:sz="4"/>
                  </w:tcBorders>
                  <w:vAlign w:val="top"/>
                </w:tcPr>
                <w:p>
                  <w:r>
                    <w:rPr>
                      <w:b/>
                      <w:color w:val="000000"/>
                      <w:sz w:val="24"/>
                    </w:rPr>
                    <w:t>排队取号机</w:t>
                  </w:r>
                </w:p>
              </w:tc>
              <w:tc>
                <w:tcPr>
                  <w:tcW w:type="dxa" w:w="1399"/>
                  <w:tcBorders>
                    <w:top w:val="none" w:color="000000" w:sz="4"/>
                    <w:left w:val="single" w:color="000000" w:sz="4"/>
                    <w:bottom w:val="single" w:color="000000" w:sz="4"/>
                    <w:right w:val="single" w:color="000000" w:sz="4"/>
                  </w:tcBorders>
                  <w:vAlign w:val="top"/>
                </w:tcPr>
                <w:p>
                  <w:r>
                    <w:rPr>
                      <w:color w:val="000000"/>
                      <w:sz w:val="24"/>
                    </w:rPr>
                    <w:t>可根据服务大厅的具体要求，提供定制化服务，包括：服务指南、材料样表、办理流程、办事进度、法律法规、公示公告、大厅动态等应用功能。</w:t>
                  </w:r>
                </w:p>
                <w:p>
                  <w:pPr>
                    <w:jc w:val="both"/>
                  </w:pPr>
                  <w:r>
                    <w:rPr>
                      <w:color w:val="000000"/>
                      <w:sz w:val="24"/>
                    </w:rPr>
                    <w:t>▲1</w:t>
                  </w:r>
                  <w:r>
                    <w:rPr>
                      <w:color w:val="000000"/>
                      <w:sz w:val="24"/>
                    </w:rPr>
                    <w:t>、触摸显示器：屏幕尺寸</w:t>
                  </w:r>
                  <w:r>
                    <w:rPr>
                      <w:color w:val="000000"/>
                      <w:sz w:val="24"/>
                    </w:rPr>
                    <w:t>≧32</w:t>
                  </w:r>
                  <w:r>
                    <w:rPr>
                      <w:color w:val="000000"/>
                      <w:sz w:val="24"/>
                    </w:rPr>
                    <w:t>显示器</w:t>
                  </w:r>
                  <w:r>
                    <w:rPr>
                      <w:color w:val="000000"/>
                      <w:sz w:val="24"/>
                    </w:rPr>
                    <w:t>;</w:t>
                  </w:r>
                  <w:r>
                    <w:rPr>
                      <w:color w:val="000000"/>
                      <w:sz w:val="24"/>
                    </w:rPr>
                    <w:t>屏幕比例</w:t>
                  </w:r>
                  <w:r>
                    <w:rPr>
                      <w:color w:val="000000"/>
                      <w:sz w:val="24"/>
                    </w:rPr>
                    <w:t>:16:9</w:t>
                  </w:r>
                  <w:r>
                    <w:rPr>
                      <w:color w:val="000000"/>
                      <w:sz w:val="24"/>
                    </w:rPr>
                    <w:t>；分辨率</w:t>
                  </w:r>
                  <w:r>
                    <w:rPr>
                      <w:color w:val="000000"/>
                      <w:sz w:val="24"/>
                    </w:rPr>
                    <w:t>:1920* 1080</w:t>
                  </w:r>
                  <w:r>
                    <w:rPr>
                      <w:color w:val="000000"/>
                      <w:sz w:val="24"/>
                    </w:rPr>
                    <w:t>；刷新率</w:t>
                  </w:r>
                  <w:r>
                    <w:rPr>
                      <w:color w:val="000000"/>
                      <w:sz w:val="24"/>
                    </w:rPr>
                    <w:t>:60Hz</w:t>
                  </w:r>
                  <w:r>
                    <w:rPr>
                      <w:color w:val="000000"/>
                      <w:sz w:val="24"/>
                    </w:rPr>
                    <w:t>；对比度</w:t>
                  </w:r>
                  <w:r>
                    <w:rPr>
                      <w:color w:val="000000"/>
                      <w:sz w:val="24"/>
                    </w:rPr>
                    <w:t>:3000:1</w:t>
                  </w:r>
                  <w:r>
                    <w:rPr>
                      <w:color w:val="000000"/>
                      <w:sz w:val="24"/>
                    </w:rPr>
                    <w:t>；亮度</w:t>
                  </w:r>
                  <w:r>
                    <w:rPr>
                      <w:color w:val="000000"/>
                      <w:sz w:val="24"/>
                    </w:rPr>
                    <w:t>:350cd/m2</w:t>
                  </w:r>
                  <w:r>
                    <w:rPr>
                      <w:color w:val="000000"/>
                      <w:sz w:val="24"/>
                    </w:rPr>
                    <w:t>；响应时间</w:t>
                  </w:r>
                  <w:r>
                    <w:rPr>
                      <w:color w:val="000000"/>
                      <w:sz w:val="24"/>
                    </w:rPr>
                    <w:t>:5ms</w:t>
                  </w:r>
                  <w:r>
                    <w:rPr>
                      <w:color w:val="000000"/>
                      <w:sz w:val="24"/>
                    </w:rPr>
                    <w:t>；采用</w:t>
                  </w:r>
                  <w:r>
                    <w:rPr>
                      <w:color w:val="000000"/>
                      <w:sz w:val="24"/>
                    </w:rPr>
                    <w:t>10</w:t>
                  </w:r>
                  <w:r>
                    <w:rPr>
                      <w:color w:val="000000"/>
                      <w:sz w:val="24"/>
                    </w:rPr>
                    <w:t>点电容式触摸屏；</w:t>
                  </w:r>
                </w:p>
                <w:p>
                  <w:pPr>
                    <w:jc w:val="both"/>
                  </w:pPr>
                  <w:r>
                    <w:rPr>
                      <w:color w:val="000000"/>
                      <w:sz w:val="24"/>
                    </w:rPr>
                    <w:t>2</w:t>
                  </w:r>
                  <w:r>
                    <w:rPr>
                      <w:color w:val="000000"/>
                      <w:sz w:val="24"/>
                    </w:rPr>
                    <w:t>、机柜：冷轧钢金属机柜，采用壁挂式支架；表面处理</w:t>
                  </w:r>
                  <w:r>
                    <w:rPr>
                      <w:color w:val="000000"/>
                      <w:sz w:val="24"/>
                    </w:rPr>
                    <w:t>:</w:t>
                  </w:r>
                  <w:r>
                    <w:rPr>
                      <w:color w:val="000000"/>
                      <w:sz w:val="24"/>
                    </w:rPr>
                    <w:t>采用汽车金属烤漆</w:t>
                  </w:r>
                  <w:r>
                    <w:rPr>
                      <w:color w:val="000000"/>
                      <w:sz w:val="24"/>
                    </w:rPr>
                    <w:t>,</w:t>
                  </w:r>
                  <w:r>
                    <w:rPr>
                      <w:color w:val="000000"/>
                      <w:sz w:val="24"/>
                    </w:rPr>
                    <w:t>金属光面漆，防锈、防磁、防静电；冷轧钢材料；控制面板：电源开关、音响、音量调谐；接口：</w:t>
                  </w:r>
                  <w:r>
                    <w:rPr>
                      <w:color w:val="000000"/>
                      <w:sz w:val="24"/>
                    </w:rPr>
                    <w:t>RJ45</w:t>
                  </w:r>
                  <w:r>
                    <w:rPr>
                      <w:color w:val="000000"/>
                      <w:sz w:val="24"/>
                    </w:rPr>
                    <w:t>网络接口；电压：</w:t>
                  </w:r>
                  <w:r>
                    <w:rPr>
                      <w:color w:val="000000"/>
                      <w:sz w:val="24"/>
                    </w:rPr>
                    <w:t>AC220V±10% 50Hz±1Hz</w:t>
                  </w:r>
                  <w:r>
                    <w:rPr>
                      <w:color w:val="000000"/>
                      <w:sz w:val="24"/>
                    </w:rPr>
                    <w:t>；功耗：＜</w:t>
                  </w:r>
                  <w:r>
                    <w:rPr>
                      <w:color w:val="000000"/>
                      <w:sz w:val="24"/>
                    </w:rPr>
                    <w:t>200W</w:t>
                  </w:r>
                  <w:r>
                    <w:rPr>
                      <w:color w:val="000000"/>
                      <w:sz w:val="24"/>
                    </w:rPr>
                    <w:t>；  开机瞬间电流：</w:t>
                  </w:r>
                  <w:r>
                    <w:rPr>
                      <w:color w:val="000000"/>
                      <w:sz w:val="24"/>
                    </w:rPr>
                    <w:t>3A</w:t>
                  </w:r>
                  <w:r>
                    <w:rPr>
                      <w:color w:val="000000"/>
                      <w:sz w:val="24"/>
                    </w:rPr>
                    <w:t>；工作温度：</w:t>
                  </w:r>
                  <w:r>
                    <w:rPr>
                      <w:color w:val="000000"/>
                      <w:sz w:val="24"/>
                    </w:rPr>
                    <w:t>-20℃ ~ +45℃</w:t>
                  </w:r>
                  <w:r>
                    <w:rPr>
                      <w:color w:val="000000"/>
                      <w:sz w:val="24"/>
                    </w:rPr>
                    <w:t>；湿度：</w:t>
                  </w:r>
                  <w:r>
                    <w:rPr>
                      <w:color w:val="000000"/>
                      <w:sz w:val="24"/>
                    </w:rPr>
                    <w:t>20%~90%</w:t>
                  </w:r>
                  <w:r>
                    <w:rPr>
                      <w:color w:val="000000"/>
                      <w:sz w:val="24"/>
                    </w:rPr>
                    <w:t>（相对，非减压）；操作系统</w:t>
                  </w:r>
                  <w:r>
                    <w:rPr>
                      <w:color w:val="000000"/>
                      <w:sz w:val="24"/>
                    </w:rPr>
                    <w:t>Win7</w:t>
                  </w:r>
                  <w:r>
                    <w:rPr>
                      <w:color w:val="000000"/>
                      <w:sz w:val="24"/>
                    </w:rPr>
                    <w:t>或</w:t>
                  </w:r>
                  <w:r>
                    <w:rPr>
                      <w:color w:val="000000"/>
                      <w:sz w:val="24"/>
                    </w:rPr>
                    <w:t>win10</w:t>
                  </w:r>
                  <w:r>
                    <w:rPr>
                      <w:color w:val="000000"/>
                      <w:sz w:val="24"/>
                    </w:rPr>
                    <w:t>专业版；</w:t>
                  </w:r>
                </w:p>
                <w:p>
                  <w:pPr>
                    <w:jc w:val="both"/>
                  </w:pPr>
                  <w:r>
                    <w:rPr>
                      <w:color w:val="000000"/>
                      <w:sz w:val="24"/>
                    </w:rPr>
                    <w:t>▲3</w:t>
                  </w:r>
                  <w:r>
                    <w:rPr>
                      <w:color w:val="000000"/>
                      <w:sz w:val="24"/>
                    </w:rPr>
                    <w:t>、设备顶端呼吸灯设计，机身设计有笑脸灯，可作为故障灯、提示灯使用，日常呼吸闪动，让政务服务更加有温度；</w:t>
                  </w:r>
                </w:p>
                <w:p>
                  <w:pPr>
                    <w:jc w:val="both"/>
                  </w:pPr>
                  <w:r>
                    <w:rPr>
                      <w:color w:val="000000"/>
                      <w:sz w:val="24"/>
                    </w:rPr>
                    <w:t>▲4</w:t>
                  </w:r>
                  <w:r>
                    <w:rPr>
                      <w:color w:val="000000"/>
                      <w:sz w:val="24"/>
                    </w:rPr>
                    <w:t>、主机：</w:t>
                  </w:r>
                  <w:r>
                    <w:rPr>
                      <w:color w:val="000000"/>
                      <w:sz w:val="24"/>
                    </w:rPr>
                    <w:t>CPU</w:t>
                  </w:r>
                  <w:r>
                    <w:rPr>
                      <w:color w:val="000000"/>
                      <w:sz w:val="24"/>
                    </w:rPr>
                    <w:t>：</w:t>
                  </w:r>
                  <w:r>
                    <w:rPr>
                      <w:color w:val="000000"/>
                      <w:sz w:val="24"/>
                    </w:rPr>
                    <w:t xml:space="preserve">I3  </w:t>
                  </w:r>
                  <w:r>
                    <w:rPr>
                      <w:color w:val="000000"/>
                      <w:sz w:val="24"/>
                    </w:rPr>
                    <w:t>内存：</w:t>
                  </w:r>
                  <w:r>
                    <w:rPr>
                      <w:color w:val="000000"/>
                      <w:sz w:val="24"/>
                    </w:rPr>
                    <w:t>4G</w:t>
                  </w:r>
                  <w:r>
                    <w:rPr>
                      <w:color w:val="000000"/>
                      <w:sz w:val="24"/>
                    </w:rPr>
                    <w:t>；硬盘：</w:t>
                  </w:r>
                  <w:r>
                    <w:rPr>
                      <w:color w:val="000000"/>
                      <w:sz w:val="24"/>
                    </w:rPr>
                    <w:t>SATA2 500G</w:t>
                  </w:r>
                  <w:r>
                    <w:rPr>
                      <w:color w:val="000000"/>
                      <w:sz w:val="24"/>
                    </w:rPr>
                    <w:t>硬盘保护设计；声卡：</w:t>
                  </w:r>
                  <w:r>
                    <w:rPr>
                      <w:color w:val="000000"/>
                      <w:sz w:val="24"/>
                    </w:rPr>
                    <w:t>Realtek ALC661</w:t>
                  </w:r>
                  <w:r>
                    <w:rPr>
                      <w:color w:val="000000"/>
                      <w:sz w:val="24"/>
                    </w:rPr>
                    <w:t>，声道数：</w:t>
                  </w:r>
                  <w:r>
                    <w:rPr>
                      <w:color w:val="000000"/>
                      <w:sz w:val="24"/>
                    </w:rPr>
                    <w:t>6</w:t>
                  </w:r>
                  <w:r>
                    <w:rPr>
                      <w:color w:val="000000"/>
                      <w:sz w:val="24"/>
                    </w:rPr>
                    <w:t>声道；网卡：</w:t>
                  </w:r>
                  <w:r>
                    <w:rPr>
                      <w:color w:val="000000"/>
                      <w:sz w:val="24"/>
                    </w:rPr>
                    <w:t>Realtek RTL8105E</w:t>
                  </w:r>
                  <w:r>
                    <w:rPr>
                      <w:color w:val="000000"/>
                      <w:sz w:val="24"/>
                    </w:rPr>
                    <w:t xml:space="preserve">千兆网卡；含无线网卡  </w:t>
                  </w:r>
                  <w:r>
                    <w:rPr>
                      <w:color w:val="000000"/>
                      <w:sz w:val="24"/>
                    </w:rPr>
                    <w:t>4*USB2.0 1*VGA</w:t>
                  </w:r>
                  <w:r>
                    <w:rPr>
                      <w:color w:val="000000"/>
                      <w:sz w:val="24"/>
                    </w:rPr>
                    <w:t>电源：工业电源；</w:t>
                  </w:r>
                </w:p>
                <w:p>
                  <w:pPr>
                    <w:jc w:val="both"/>
                  </w:pPr>
                  <w:r>
                    <w:rPr>
                      <w:color w:val="000000"/>
                      <w:sz w:val="24"/>
                    </w:rPr>
                    <w:t>5</w:t>
                  </w:r>
                  <w:r>
                    <w:rPr>
                      <w:color w:val="000000"/>
                      <w:sz w:val="24"/>
                    </w:rPr>
                    <w:t>、 内置热敏打印机</w:t>
                  </w:r>
                  <w:r>
                    <w:rPr>
                      <w:color w:val="000000"/>
                      <w:sz w:val="24"/>
                    </w:rPr>
                    <w:t>(</w:t>
                  </w:r>
                  <w:r>
                    <w:rPr>
                      <w:color w:val="000000"/>
                      <w:sz w:val="24"/>
                    </w:rPr>
                    <w:t>纸宽</w:t>
                  </w:r>
                  <w:r>
                    <w:rPr>
                      <w:color w:val="000000"/>
                      <w:sz w:val="24"/>
                    </w:rPr>
                    <w:t>80MM*80MM)</w:t>
                  </w:r>
                  <w:r>
                    <w:rPr>
                      <w:color w:val="000000"/>
                      <w:sz w:val="24"/>
                    </w:rPr>
                    <w:t>，打印速度大于</w:t>
                  </w:r>
                  <w:r>
                    <w:rPr>
                      <w:color w:val="000000"/>
                      <w:sz w:val="24"/>
                    </w:rPr>
                    <w:t>80MM/</w:t>
                  </w:r>
                  <w:r>
                    <w:rPr>
                      <w:color w:val="000000"/>
                      <w:sz w:val="24"/>
                    </w:rPr>
                    <w:t>秒；</w:t>
                  </w:r>
                </w:p>
                <w:p>
                  <w:pPr>
                    <w:jc w:val="both"/>
                  </w:pPr>
                  <w:r>
                    <w:rPr>
                      <w:color w:val="000000"/>
                      <w:sz w:val="24"/>
                    </w:rPr>
                    <w:t>6</w:t>
                  </w:r>
                  <w:r>
                    <w:rPr>
                      <w:color w:val="000000"/>
                      <w:sz w:val="24"/>
                    </w:rPr>
                    <w:t>、内置激光打印机（黑白），打印速度：</w:t>
                  </w:r>
                  <w:r>
                    <w:rPr>
                      <w:color w:val="000000"/>
                      <w:sz w:val="24"/>
                    </w:rPr>
                    <w:t>40ppm</w:t>
                  </w:r>
                  <w:r>
                    <w:rPr>
                      <w:color w:val="000000"/>
                      <w:sz w:val="24"/>
                    </w:rPr>
                    <w:t>，</w:t>
                  </w:r>
                  <w:r>
                    <w:rPr>
                      <w:color w:val="000000"/>
                      <w:sz w:val="24"/>
                    </w:rPr>
                    <w:t>250</w:t>
                  </w:r>
                  <w:r>
                    <w:rPr>
                      <w:color w:val="000000"/>
                      <w:sz w:val="24"/>
                    </w:rPr>
                    <w:t>页进纸盒；</w:t>
                  </w:r>
                </w:p>
                <w:p>
                  <w:pPr>
                    <w:jc w:val="both"/>
                  </w:pPr>
                  <w:r>
                    <w:rPr>
                      <w:color w:val="000000"/>
                      <w:sz w:val="24"/>
                    </w:rPr>
                    <w:t>7</w:t>
                  </w:r>
                  <w:r>
                    <w:rPr>
                      <w:color w:val="000000"/>
                      <w:sz w:val="24"/>
                    </w:rPr>
                    <w:t>、 内置功放，喇叭；双声道立体电子音效，环绕功效、防磁设计；</w:t>
                  </w:r>
                </w:p>
                <w:p>
                  <w:pPr>
                    <w:jc w:val="both"/>
                  </w:pPr>
                  <w:r>
                    <w:rPr>
                      <w:color w:val="000000"/>
                      <w:sz w:val="24"/>
                    </w:rPr>
                    <w:t>▲8</w:t>
                  </w:r>
                  <w:r>
                    <w:rPr>
                      <w:color w:val="000000"/>
                      <w:sz w:val="24"/>
                    </w:rPr>
                    <w:t>、 集成二代身份证阅读器，支持刷身份证取号功能；符合公安部</w:t>
                  </w:r>
                  <w:r>
                    <w:rPr>
                      <w:color w:val="000000"/>
                      <w:sz w:val="24"/>
                    </w:rPr>
                    <w:t>GA450</w:t>
                  </w:r>
                  <w:r>
                    <w:rPr>
                      <w:color w:val="000000"/>
                      <w:sz w:val="24"/>
                    </w:rPr>
                    <w:t>标准规范，具有中国公共安全产品认证；</w:t>
                  </w:r>
                </w:p>
                <w:p>
                  <w:pPr>
                    <w:jc w:val="both"/>
                  </w:pPr>
                  <w:r>
                    <w:rPr>
                      <w:color w:val="000000"/>
                      <w:sz w:val="24"/>
                    </w:rPr>
                    <w:t>9</w:t>
                  </w:r>
                  <w:r>
                    <w:rPr>
                      <w:color w:val="000000"/>
                      <w:sz w:val="24"/>
                    </w:rPr>
                    <w:t>、集成二维码扫描仪，支持扫码取号功能；</w:t>
                  </w:r>
                </w:p>
                <w:p>
                  <w:pPr>
                    <w:jc w:val="both"/>
                  </w:pPr>
                  <w:r>
                    <w:rPr>
                      <w:color w:val="000000"/>
                      <w:sz w:val="24"/>
                    </w:rPr>
                    <w:t>10</w:t>
                  </w:r>
                  <w:r>
                    <w:rPr>
                      <w:color w:val="000000"/>
                      <w:sz w:val="24"/>
                    </w:rPr>
                    <w:t>、集成人脸识别摄像头，自然光和近红外光识别。</w:t>
                  </w:r>
                </w:p>
                <w:p/>
              </w:tc>
              <w:tc>
                <w:tcPr>
                  <w:tcW w:type="dxa" w:w="1399"/>
                  <w:tcBorders>
                    <w:top w:val="none" w:color="000000" w:sz="4"/>
                    <w:left w:val="single" w:color="000000" w:sz="4"/>
                    <w:bottom w:val="single" w:color="000000" w:sz="4"/>
                    <w:right w:val="single" w:color="000000" w:sz="4"/>
                  </w:tcBorders>
                  <w:vAlign w:val="top"/>
                </w:tcPr>
                <w:p>
                  <w:pPr>
                    <w:jc w:val="center"/>
                  </w:pPr>
                  <w:r>
                    <w:rPr>
                      <w:b/>
                      <w:color w:val="000000"/>
                      <w:sz w:val="24"/>
                    </w:rPr>
                    <w:t>16台</w:t>
                  </w:r>
                </w:p>
              </w:tc>
            </w:tr>
            <w:tr>
              <w:tc>
                <w:tcPr>
                  <w:tcW w:type="dxa" w:w="1399"/>
                  <w:tcBorders>
                    <w:top w:val="none" w:color="000000" w:sz="4"/>
                    <w:left w:val="single" w:color="000000" w:sz="4"/>
                    <w:bottom w:val="single" w:color="000000" w:sz="4"/>
                    <w:right w:val="single" w:color="000000" w:sz="4"/>
                  </w:tcBorders>
                  <w:vAlign w:val="top"/>
                </w:tcPr>
                <w:p>
                  <w:pPr>
                    <w:jc w:val="center"/>
                  </w:pPr>
                  <w:r>
                    <w:rPr>
                      <w:b/>
                      <w:color w:val="000000"/>
                      <w:sz w:val="24"/>
                    </w:rPr>
                    <w:t>2</w:t>
                  </w:r>
                </w:p>
              </w:tc>
              <w:tc>
                <w:tcPr>
                  <w:tcW w:type="dxa" w:w="1399"/>
                  <w:tcBorders>
                    <w:top w:val="none" w:color="000000" w:sz="4"/>
                    <w:left w:val="single" w:color="000000" w:sz="4"/>
                    <w:bottom w:val="single" w:color="000000" w:sz="4"/>
                    <w:right w:val="single" w:color="000000" w:sz="4"/>
                  </w:tcBorders>
                  <w:vAlign w:val="top"/>
                </w:tcPr>
                <w:p>
                  <w:r>
                    <w:rPr>
                      <w:b/>
                      <w:color w:val="000000"/>
                      <w:sz w:val="24"/>
                    </w:rPr>
                    <w:t>窗口叫号器</w:t>
                  </w:r>
                </w:p>
              </w:tc>
              <w:tc>
                <w:tcPr>
                  <w:tcW w:type="dxa" w:w="1399"/>
                  <w:tcBorders>
                    <w:top w:val="none" w:color="000000" w:sz="4"/>
                    <w:left w:val="single" w:color="000000" w:sz="4"/>
                    <w:bottom w:val="single" w:color="000000" w:sz="4"/>
                    <w:right w:val="single" w:color="000000" w:sz="4"/>
                  </w:tcBorders>
                  <w:vAlign w:val="top"/>
                </w:tcPr>
                <w:p>
                  <w:pPr>
                    <w:jc w:val="both"/>
                  </w:pPr>
                  <w:r>
                    <w:rPr>
                      <w:color w:val="000000"/>
                      <w:sz w:val="24"/>
                    </w:rPr>
                    <w:t>1</w:t>
                  </w:r>
                  <w:r>
                    <w:rPr>
                      <w:color w:val="000000"/>
                      <w:sz w:val="24"/>
                    </w:rPr>
                    <w:t>、嵌入式实时操作系统</w:t>
                  </w:r>
                  <w:r>
                    <w:rPr>
                      <w:color w:val="000000"/>
                      <w:sz w:val="24"/>
                    </w:rPr>
                    <w:t>RTOS</w:t>
                  </w:r>
                  <w:r>
                    <w:rPr>
                      <w:color w:val="000000"/>
                      <w:sz w:val="24"/>
                    </w:rPr>
                    <w:t>（嵌入式安全操作系统）；</w:t>
                  </w:r>
                </w:p>
                <w:p>
                  <w:pPr>
                    <w:jc w:val="both"/>
                  </w:pPr>
                  <w:r>
                    <w:rPr>
                      <w:color w:val="000000"/>
                      <w:sz w:val="24"/>
                    </w:rPr>
                    <w:t>▲2</w:t>
                  </w:r>
                  <w:r>
                    <w:rPr>
                      <w:color w:val="000000"/>
                      <w:sz w:val="24"/>
                    </w:rPr>
                    <w:t>、双核</w:t>
                  </w:r>
                  <w:r>
                    <w:rPr>
                      <w:color w:val="000000"/>
                      <w:sz w:val="24"/>
                    </w:rPr>
                    <w:t>32-bit</w:t>
                  </w:r>
                  <w:r>
                    <w:rPr>
                      <w:color w:val="000000"/>
                      <w:sz w:val="24"/>
                    </w:rPr>
                    <w:t>高速</w:t>
                  </w:r>
                  <w:r>
                    <w:rPr>
                      <w:color w:val="000000"/>
                      <w:sz w:val="24"/>
                    </w:rPr>
                    <w:t>CPU</w:t>
                  </w:r>
                  <w:r>
                    <w:rPr>
                      <w:color w:val="000000"/>
                      <w:sz w:val="24"/>
                    </w:rPr>
                    <w:t>；</w:t>
                  </w:r>
                </w:p>
                <w:p>
                  <w:pPr>
                    <w:jc w:val="both"/>
                  </w:pPr>
                  <w:r>
                    <w:rPr>
                      <w:color w:val="000000"/>
                      <w:sz w:val="24"/>
                    </w:rPr>
                    <w:t>▲3</w:t>
                  </w:r>
                  <w:r>
                    <w:rPr>
                      <w:color w:val="000000"/>
                      <w:sz w:val="24"/>
                    </w:rPr>
                    <w:t>、</w:t>
                  </w:r>
                  <w:r>
                    <w:rPr>
                      <w:color w:val="000000"/>
                      <w:sz w:val="24"/>
                    </w:rPr>
                    <w:t>2.4”</w:t>
                  </w:r>
                  <w:r>
                    <w:rPr>
                      <w:color w:val="000000"/>
                      <w:sz w:val="24"/>
                    </w:rPr>
                    <w:t>高亮</w:t>
                  </w:r>
                  <w:r>
                    <w:rPr>
                      <w:color w:val="000000"/>
                      <w:sz w:val="24"/>
                    </w:rPr>
                    <w:t>TFT</w:t>
                  </w:r>
                  <w:r>
                    <w:rPr>
                      <w:color w:val="000000"/>
                      <w:sz w:val="24"/>
                    </w:rPr>
                    <w:t>液晶屏幕，分辨率为</w:t>
                  </w:r>
                  <w:r>
                    <w:rPr>
                      <w:color w:val="000000"/>
                      <w:sz w:val="24"/>
                    </w:rPr>
                    <w:t>320*240</w:t>
                  </w:r>
                  <w:r>
                    <w:rPr>
                      <w:color w:val="000000"/>
                      <w:sz w:val="24"/>
                    </w:rPr>
                    <w:t>（集成嵌入式图形</w:t>
                  </w:r>
                  <w:r>
                    <w:rPr>
                      <w:color w:val="000000"/>
                      <w:sz w:val="24"/>
                    </w:rPr>
                    <w:t>UI</w:t>
                  </w:r>
                  <w:r>
                    <w:rPr>
                      <w:color w:val="000000"/>
                      <w:sz w:val="24"/>
                    </w:rPr>
                    <w:t>系统）；</w:t>
                  </w:r>
                </w:p>
                <w:p>
                  <w:pPr>
                    <w:jc w:val="both"/>
                  </w:pPr>
                  <w:r>
                    <w:rPr>
                      <w:color w:val="000000"/>
                      <w:sz w:val="24"/>
                    </w:rPr>
                    <w:t>4</w:t>
                  </w:r>
                  <w:r>
                    <w:rPr>
                      <w:color w:val="000000"/>
                      <w:sz w:val="24"/>
                    </w:rPr>
                    <w:t>、通讯：</w:t>
                  </w:r>
                  <w:r>
                    <w:rPr>
                      <w:color w:val="000000"/>
                      <w:sz w:val="24"/>
                    </w:rPr>
                    <w:t>2.4G</w:t>
                  </w:r>
                  <w:r>
                    <w:rPr>
                      <w:color w:val="000000"/>
                      <w:sz w:val="24"/>
                    </w:rPr>
                    <w:t>频段</w:t>
                  </w:r>
                  <w:r>
                    <w:rPr>
                      <w:color w:val="000000"/>
                      <w:sz w:val="24"/>
                    </w:rPr>
                    <w:t>WIFI</w:t>
                  </w:r>
                  <w:r>
                    <w:rPr>
                      <w:color w:val="000000"/>
                      <w:sz w:val="24"/>
                    </w:rPr>
                    <w:t>，支持</w:t>
                  </w:r>
                  <w:r>
                    <w:rPr>
                      <w:color w:val="000000"/>
                      <w:sz w:val="24"/>
                    </w:rPr>
                    <w:t>802.11 b/g/n</w:t>
                  </w:r>
                  <w:r>
                    <w:rPr>
                      <w:color w:val="000000"/>
                      <w:sz w:val="24"/>
                    </w:rPr>
                    <w:t>标准，速度达</w:t>
                  </w:r>
                  <w:r>
                    <w:rPr>
                      <w:color w:val="000000"/>
                      <w:sz w:val="24"/>
                    </w:rPr>
                    <w:t>150Mbps</w:t>
                  </w:r>
                  <w:r>
                    <w:rPr>
                      <w:color w:val="000000"/>
                      <w:sz w:val="24"/>
                    </w:rPr>
                    <w:t>；</w:t>
                  </w:r>
                </w:p>
                <w:p>
                  <w:pPr>
                    <w:jc w:val="both"/>
                  </w:pPr>
                  <w:r>
                    <w:rPr>
                      <w:color w:val="000000"/>
                      <w:sz w:val="24"/>
                    </w:rPr>
                    <w:t>5</w:t>
                  </w:r>
                  <w:r>
                    <w:rPr>
                      <w:color w:val="000000"/>
                      <w:sz w:val="24"/>
                    </w:rPr>
                    <w:t>、有线通讯：百兆以太网，</w:t>
                  </w:r>
                  <w:r>
                    <w:rPr>
                      <w:color w:val="000000"/>
                      <w:sz w:val="24"/>
                    </w:rPr>
                    <w:t>10M/100M</w:t>
                  </w:r>
                  <w:r>
                    <w:rPr>
                      <w:color w:val="000000"/>
                      <w:sz w:val="24"/>
                    </w:rPr>
                    <w:t>自适应；</w:t>
                  </w:r>
                </w:p>
                <w:p>
                  <w:pPr>
                    <w:jc w:val="both"/>
                  </w:pPr>
                  <w:r>
                    <w:rPr>
                      <w:color w:val="000000"/>
                      <w:sz w:val="24"/>
                    </w:rPr>
                    <w:t>6</w:t>
                  </w:r>
                  <w:r>
                    <w:rPr>
                      <w:color w:val="000000"/>
                      <w:sz w:val="24"/>
                    </w:rPr>
                    <w:t>、通信协议：支持</w:t>
                  </w:r>
                  <w:r>
                    <w:rPr>
                      <w:color w:val="000000"/>
                      <w:sz w:val="24"/>
                    </w:rPr>
                    <w:t>http</w:t>
                  </w:r>
                  <w:r>
                    <w:rPr>
                      <w:color w:val="000000"/>
                      <w:sz w:val="24"/>
                    </w:rPr>
                    <w:t>和</w:t>
                  </w:r>
                  <w:r>
                    <w:rPr>
                      <w:color w:val="000000"/>
                      <w:sz w:val="24"/>
                    </w:rPr>
                    <w:t>https</w:t>
                  </w:r>
                  <w:r>
                    <w:rPr>
                      <w:color w:val="000000"/>
                      <w:sz w:val="24"/>
                    </w:rPr>
                    <w:t>协议（支持二次开发）；</w:t>
                  </w:r>
                </w:p>
                <w:p>
                  <w:pPr>
                    <w:jc w:val="both"/>
                  </w:pPr>
                  <w:r>
                    <w:rPr>
                      <w:color w:val="000000"/>
                      <w:sz w:val="24"/>
                    </w:rPr>
                    <w:t>7</w:t>
                  </w:r>
                  <w:r>
                    <w:rPr>
                      <w:color w:val="000000"/>
                      <w:sz w:val="24"/>
                    </w:rPr>
                    <w:t>、支持</w:t>
                  </w:r>
                  <w:r>
                    <w:rPr>
                      <w:color w:val="000000"/>
                      <w:sz w:val="24"/>
                    </w:rPr>
                    <w:t>USB 5V</w:t>
                  </w:r>
                  <w:r>
                    <w:rPr>
                      <w:color w:val="000000"/>
                      <w:sz w:val="24"/>
                    </w:rPr>
                    <w:t>供电和</w:t>
                  </w:r>
                  <w:r>
                    <w:rPr>
                      <w:color w:val="000000"/>
                      <w:sz w:val="24"/>
                    </w:rPr>
                    <w:t>POE</w:t>
                  </w:r>
                  <w:r>
                    <w:rPr>
                      <w:color w:val="000000"/>
                      <w:sz w:val="24"/>
                    </w:rPr>
                    <w:t>供电可选；</w:t>
                  </w:r>
                </w:p>
                <w:p>
                  <w:pPr>
                    <w:jc w:val="both"/>
                  </w:pPr>
                  <w:r>
                    <w:rPr>
                      <w:color w:val="000000"/>
                      <w:sz w:val="24"/>
                    </w:rPr>
                    <w:t>8</w:t>
                  </w:r>
                  <w:r>
                    <w:rPr>
                      <w:color w:val="000000"/>
                      <w:sz w:val="24"/>
                    </w:rPr>
                    <w:t>、集成全电容触摸输入（</w:t>
                  </w:r>
                  <w:r>
                    <w:rPr>
                      <w:color w:val="000000"/>
                      <w:sz w:val="24"/>
                    </w:rPr>
                    <w:t>2.5D</w:t>
                  </w:r>
                  <w:r>
                    <w:rPr>
                      <w:color w:val="000000"/>
                      <w:sz w:val="24"/>
                    </w:rPr>
                    <w:t>键盘）；</w:t>
                  </w:r>
                </w:p>
                <w:p>
                  <w:pPr>
                    <w:jc w:val="both"/>
                  </w:pPr>
                  <w:r>
                    <w:rPr>
                      <w:color w:val="000000"/>
                      <w:sz w:val="24"/>
                    </w:rPr>
                    <w:t>9</w:t>
                  </w:r>
                  <w:r>
                    <w:rPr>
                      <w:color w:val="000000"/>
                      <w:sz w:val="24"/>
                    </w:rPr>
                    <w:t>、集成触摸反馈功能（振动，声音可选）；</w:t>
                  </w:r>
                </w:p>
                <w:p>
                  <w:pPr>
                    <w:jc w:val="both"/>
                  </w:pPr>
                  <w:r>
                    <w:rPr>
                      <w:color w:val="000000"/>
                      <w:sz w:val="24"/>
                    </w:rPr>
                    <w:t>10</w:t>
                  </w:r>
                  <w:r>
                    <w:rPr>
                      <w:color w:val="000000"/>
                      <w:sz w:val="24"/>
                    </w:rPr>
                    <w:t>、集成数据统计分析功能模块，丰富的数据图表展示界面；</w:t>
                  </w:r>
                </w:p>
                <w:p>
                  <w:pPr>
                    <w:jc w:val="both"/>
                  </w:pPr>
                  <w:r>
                    <w:rPr>
                      <w:color w:val="000000"/>
                      <w:sz w:val="24"/>
                    </w:rPr>
                    <w:t>11</w:t>
                  </w:r>
                  <w:r>
                    <w:rPr>
                      <w:color w:val="000000"/>
                      <w:sz w:val="24"/>
                    </w:rPr>
                    <w:t>、集成业务指南功能模块；</w:t>
                  </w:r>
                </w:p>
                <w:p>
                  <w:pPr>
                    <w:jc w:val="both"/>
                  </w:pPr>
                  <w:r>
                    <w:rPr>
                      <w:color w:val="000000"/>
                      <w:sz w:val="24"/>
                    </w:rPr>
                    <w:t>12</w:t>
                  </w:r>
                  <w:r>
                    <w:rPr>
                      <w:color w:val="000000"/>
                      <w:sz w:val="24"/>
                    </w:rPr>
                    <w:t>、支持中英文切换；</w:t>
                  </w:r>
                </w:p>
                <w:p>
                  <w:pPr>
                    <w:jc w:val="both"/>
                  </w:pPr>
                  <w:r>
                    <w:rPr>
                      <w:color w:val="000000"/>
                      <w:sz w:val="24"/>
                    </w:rPr>
                    <w:t>13</w:t>
                  </w:r>
                  <w:r>
                    <w:rPr>
                      <w:color w:val="000000"/>
                      <w:sz w:val="24"/>
                    </w:rPr>
                    <w:t>、可选转移窗口或者业务功能；</w:t>
                  </w:r>
                </w:p>
                <w:p>
                  <w:pPr>
                    <w:jc w:val="both"/>
                  </w:pPr>
                  <w:r>
                    <w:rPr>
                      <w:color w:val="000000"/>
                      <w:sz w:val="24"/>
                    </w:rPr>
                    <w:t>14</w:t>
                  </w:r>
                  <w:r>
                    <w:rPr>
                      <w:color w:val="000000"/>
                      <w:sz w:val="24"/>
                    </w:rPr>
                    <w:t>、延后呼叫功能；</w:t>
                  </w:r>
                </w:p>
                <w:p>
                  <w:pPr>
                    <w:jc w:val="both"/>
                  </w:pPr>
                  <w:r>
                    <w:rPr>
                      <w:color w:val="000000"/>
                      <w:sz w:val="24"/>
                    </w:rPr>
                    <w:t>15</w:t>
                  </w:r>
                  <w:r>
                    <w:rPr>
                      <w:color w:val="000000"/>
                      <w:sz w:val="24"/>
                    </w:rPr>
                    <w:t>、求助、一米线功能；</w:t>
                  </w:r>
                </w:p>
                <w:p>
                  <w:pPr>
                    <w:jc w:val="both"/>
                  </w:pPr>
                  <w:r>
                    <w:rPr>
                      <w:color w:val="000000"/>
                      <w:sz w:val="24"/>
                    </w:rPr>
                    <w:t>16</w:t>
                  </w:r>
                  <w:r>
                    <w:rPr>
                      <w:color w:val="000000"/>
                      <w:sz w:val="24"/>
                    </w:rPr>
                    <w:t>、支持多种智能配网模式（手机、电脑、键盘）；</w:t>
                  </w:r>
                </w:p>
                <w:p>
                  <w:pPr>
                    <w:jc w:val="both"/>
                  </w:pPr>
                  <w:r>
                    <w:rPr>
                      <w:color w:val="000000"/>
                      <w:sz w:val="24"/>
                    </w:rPr>
                    <w:t>17</w:t>
                  </w:r>
                  <w:r>
                    <w:rPr>
                      <w:color w:val="000000"/>
                      <w:sz w:val="24"/>
                    </w:rPr>
                    <w:t>、支持背光亮度可调；</w:t>
                  </w:r>
                </w:p>
                <w:p>
                  <w:pPr>
                    <w:jc w:val="both"/>
                  </w:pPr>
                  <w:r>
                    <w:rPr>
                      <w:color w:val="000000"/>
                      <w:sz w:val="24"/>
                    </w:rPr>
                    <w:t>18</w:t>
                  </w:r>
                  <w:r>
                    <w:rPr>
                      <w:color w:val="000000"/>
                      <w:sz w:val="24"/>
                    </w:rPr>
                    <w:t>、尺寸</w:t>
                  </w:r>
                  <w:r>
                    <w:rPr>
                      <w:color w:val="000000"/>
                      <w:sz w:val="24"/>
                    </w:rPr>
                    <w:t>146 mm * 90mm * 43mm</w:t>
                  </w:r>
                  <w:r>
                    <w:rPr>
                      <w:color w:val="000000"/>
                      <w:sz w:val="24"/>
                    </w:rPr>
                    <w:t>。</w:t>
                  </w:r>
                </w:p>
              </w:tc>
              <w:tc>
                <w:tcPr>
                  <w:tcW w:type="dxa" w:w="1399"/>
                  <w:tcBorders>
                    <w:top w:val="none" w:color="000000" w:sz="4"/>
                    <w:left w:val="single" w:color="000000" w:sz="4"/>
                    <w:bottom w:val="single" w:color="000000" w:sz="4"/>
                    <w:right w:val="single" w:color="000000" w:sz="4"/>
                  </w:tcBorders>
                  <w:vAlign w:val="top"/>
                </w:tcPr>
                <w:p>
                  <w:pPr>
                    <w:jc w:val="center"/>
                  </w:pPr>
                  <w:r>
                    <w:rPr>
                      <w:b/>
                      <w:color w:val="000000"/>
                      <w:sz w:val="24"/>
                    </w:rPr>
                    <w:t>322</w:t>
                  </w:r>
                </w:p>
                <w:p>
                  <w:pPr>
                    <w:jc w:val="center"/>
                  </w:pPr>
                  <w:r>
                    <w:rPr>
                      <w:b/>
                      <w:color w:val="000000"/>
                      <w:sz w:val="24"/>
                    </w:rPr>
                    <w:t>台</w:t>
                  </w:r>
                </w:p>
              </w:tc>
            </w:tr>
            <w:tr>
              <w:tc>
                <w:tcPr>
                  <w:tcW w:type="dxa" w:w="1399"/>
                  <w:tcBorders>
                    <w:top w:val="none" w:color="000000" w:sz="4"/>
                    <w:left w:val="single" w:color="000000" w:sz="4"/>
                    <w:bottom w:val="single" w:color="000000" w:sz="4"/>
                    <w:right w:val="single" w:color="000000" w:sz="4"/>
                  </w:tcBorders>
                  <w:vAlign w:val="top"/>
                </w:tcPr>
                <w:p>
                  <w:pPr>
                    <w:jc w:val="center"/>
                  </w:pPr>
                  <w:r>
                    <w:rPr>
                      <w:b/>
                      <w:color w:val="000000"/>
                      <w:sz w:val="24"/>
                    </w:rPr>
                    <w:t>3</w:t>
                  </w:r>
                </w:p>
              </w:tc>
              <w:tc>
                <w:tcPr>
                  <w:tcW w:type="dxa" w:w="1399"/>
                  <w:tcBorders>
                    <w:top w:val="none" w:color="000000" w:sz="4"/>
                    <w:left w:val="single" w:color="000000" w:sz="4"/>
                    <w:bottom w:val="single" w:color="000000" w:sz="4"/>
                    <w:right w:val="single" w:color="000000" w:sz="4"/>
                  </w:tcBorders>
                  <w:vAlign w:val="top"/>
                </w:tcPr>
                <w:p>
                  <w:r>
                    <w:rPr>
                      <w:b/>
                      <w:color w:val="000000"/>
                      <w:sz w:val="24"/>
                    </w:rPr>
                    <w:t>集中显示屏</w:t>
                  </w:r>
                </w:p>
              </w:tc>
              <w:tc>
                <w:tcPr>
                  <w:tcW w:type="dxa" w:w="1399"/>
                  <w:tcBorders>
                    <w:top w:val="none" w:color="000000" w:sz="4"/>
                    <w:left w:val="single" w:color="000000" w:sz="4"/>
                    <w:bottom w:val="single" w:color="000000" w:sz="4"/>
                    <w:right w:val="single" w:color="000000" w:sz="4"/>
                  </w:tcBorders>
                  <w:vAlign w:val="top"/>
                </w:tcPr>
                <w:p>
                  <w:pPr>
                    <w:jc w:val="both"/>
                  </w:pPr>
                  <w:r>
                    <w:rPr>
                      <w:color w:val="000000"/>
                      <w:sz w:val="24"/>
                    </w:rPr>
                    <w:t>▲1</w:t>
                  </w:r>
                  <w:r>
                    <w:rPr>
                      <w:color w:val="000000"/>
                      <w:sz w:val="24"/>
                    </w:rPr>
                    <w:t>、</w:t>
                  </w:r>
                  <w:r>
                    <w:rPr>
                      <w:color w:val="000000"/>
                      <w:sz w:val="24"/>
                    </w:rPr>
                    <w:t>55</w:t>
                  </w:r>
                  <w:r>
                    <w:rPr>
                      <w:color w:val="000000"/>
                      <w:sz w:val="24"/>
                    </w:rPr>
                    <w:t>寸液晶屏，作为排队、叫号信息综合显示屏，内置安卓播放盒；</w:t>
                  </w:r>
                </w:p>
                <w:p>
                  <w:pPr>
                    <w:jc w:val="both"/>
                  </w:pPr>
                  <w:r>
                    <w:rPr>
                      <w:color w:val="000000"/>
                      <w:sz w:val="24"/>
                    </w:rPr>
                    <w:t>2</w:t>
                  </w:r>
                  <w:r>
                    <w:rPr>
                      <w:color w:val="000000"/>
                      <w:sz w:val="24"/>
                    </w:rPr>
                    <w:t>、支持高清显示</w:t>
                  </w:r>
                  <w:r>
                    <w:rPr>
                      <w:color w:val="000000"/>
                      <w:sz w:val="24"/>
                    </w:rPr>
                    <w:t>2160P,</w:t>
                  </w:r>
                  <w:r>
                    <w:rPr>
                      <w:color w:val="000000"/>
                      <w:sz w:val="24"/>
                    </w:rPr>
                    <w:t>显示比例：</w:t>
                  </w:r>
                  <w:r>
                    <w:rPr>
                      <w:color w:val="000000"/>
                      <w:sz w:val="24"/>
                    </w:rPr>
                    <w:t>16:9</w:t>
                  </w:r>
                  <w:r>
                    <w:rPr>
                      <w:color w:val="000000"/>
                      <w:sz w:val="24"/>
                    </w:rPr>
                    <w:t>；</w:t>
                  </w:r>
                </w:p>
                <w:p>
                  <w:pPr>
                    <w:jc w:val="both"/>
                  </w:pPr>
                  <w:r>
                    <w:rPr>
                      <w:color w:val="000000"/>
                      <w:sz w:val="24"/>
                    </w:rPr>
                    <w:t>3</w:t>
                  </w:r>
                  <w:r>
                    <w:rPr>
                      <w:color w:val="000000"/>
                      <w:sz w:val="24"/>
                    </w:rPr>
                    <w:t>、功耗：</w:t>
                  </w:r>
                  <w:r>
                    <w:rPr>
                      <w:color w:val="000000"/>
                      <w:sz w:val="24"/>
                    </w:rPr>
                    <w:t>≤180W</w:t>
                  </w:r>
                  <w:r>
                    <w:rPr>
                      <w:color w:val="000000"/>
                      <w:sz w:val="24"/>
                    </w:rPr>
                    <w:t>；</w:t>
                  </w:r>
                </w:p>
                <w:p>
                  <w:pPr>
                    <w:jc w:val="both"/>
                  </w:pPr>
                  <w:r>
                    <w:rPr>
                      <w:color w:val="000000"/>
                      <w:sz w:val="24"/>
                    </w:rPr>
                    <w:t>4</w:t>
                  </w:r>
                  <w:r>
                    <w:rPr>
                      <w:color w:val="000000"/>
                      <w:sz w:val="24"/>
                    </w:rPr>
                    <w:t>、刷新路：</w:t>
                  </w:r>
                  <w:r>
                    <w:rPr>
                      <w:color w:val="000000"/>
                      <w:sz w:val="24"/>
                    </w:rPr>
                    <w:t>60Hz</w:t>
                  </w:r>
                  <w:r>
                    <w:rPr>
                      <w:color w:val="000000"/>
                      <w:sz w:val="24"/>
                    </w:rPr>
                    <w:t>；</w:t>
                  </w:r>
                </w:p>
                <w:p>
                  <w:pPr>
                    <w:jc w:val="both"/>
                  </w:pPr>
                  <w:r>
                    <w:rPr>
                      <w:color w:val="000000"/>
                      <w:sz w:val="24"/>
                    </w:rPr>
                    <w:t>▲5</w:t>
                  </w:r>
                  <w:r>
                    <w:rPr>
                      <w:color w:val="000000"/>
                      <w:sz w:val="24"/>
                    </w:rPr>
                    <w:t>、主控模块</w:t>
                  </w:r>
                  <w:r>
                    <w:rPr>
                      <w:color w:val="000000"/>
                      <w:sz w:val="24"/>
                    </w:rPr>
                    <w:t>CPU</w:t>
                  </w:r>
                  <w:r>
                    <w:rPr>
                      <w:color w:val="000000"/>
                      <w:sz w:val="24"/>
                    </w:rPr>
                    <w:t>：</w:t>
                  </w:r>
                  <w:r>
                    <w:rPr>
                      <w:color w:val="000000"/>
                      <w:sz w:val="24"/>
                    </w:rPr>
                    <w:t>I3</w:t>
                  </w:r>
                  <w:r>
                    <w:rPr>
                      <w:color w:val="000000"/>
                      <w:sz w:val="24"/>
                    </w:rPr>
                    <w:t>或以上，内存</w:t>
                  </w:r>
                  <w:r>
                    <w:rPr>
                      <w:color w:val="000000"/>
                      <w:sz w:val="24"/>
                    </w:rPr>
                    <w:t>≥4G DDR</w:t>
                  </w:r>
                  <w:r>
                    <w:rPr>
                      <w:color w:val="000000"/>
                      <w:sz w:val="24"/>
                    </w:rPr>
                    <w:t>三代</w:t>
                  </w:r>
                  <w:r>
                    <w:rPr>
                      <w:color w:val="000000"/>
                      <w:sz w:val="24"/>
                    </w:rPr>
                    <w:t>1333</w:t>
                  </w:r>
                  <w:r>
                    <w:rPr>
                      <w:color w:val="000000"/>
                      <w:sz w:val="24"/>
                    </w:rPr>
                    <w:t>；硬盘</w:t>
                  </w:r>
                  <w:r>
                    <w:rPr>
                      <w:color w:val="000000"/>
                      <w:sz w:val="24"/>
                    </w:rPr>
                    <w:t>≥120G</w:t>
                  </w:r>
                  <w:r>
                    <w:rPr>
                      <w:color w:val="000000"/>
                      <w:sz w:val="24"/>
                    </w:rPr>
                    <w:t>。</w:t>
                  </w:r>
                </w:p>
              </w:tc>
              <w:tc>
                <w:tcPr>
                  <w:tcW w:type="dxa" w:w="1399"/>
                  <w:tcBorders>
                    <w:top w:val="none" w:color="000000" w:sz="4"/>
                    <w:left w:val="single" w:color="000000" w:sz="4"/>
                    <w:bottom w:val="single" w:color="000000" w:sz="4"/>
                    <w:right w:val="single" w:color="000000" w:sz="4"/>
                  </w:tcBorders>
                  <w:vAlign w:val="top"/>
                </w:tcPr>
                <w:p>
                  <w:pPr>
                    <w:jc w:val="center"/>
                  </w:pPr>
                  <w:r>
                    <w:rPr>
                      <w:b/>
                      <w:color w:val="000000"/>
                      <w:sz w:val="24"/>
                    </w:rPr>
                    <w:t>13台</w:t>
                  </w:r>
                </w:p>
              </w:tc>
            </w:tr>
            <w:tr>
              <w:tc>
                <w:tcPr>
                  <w:tcW w:type="dxa" w:w="1399"/>
                  <w:tcBorders>
                    <w:top w:val="none" w:color="000000" w:sz="4"/>
                    <w:left w:val="single" w:color="000000" w:sz="4"/>
                    <w:bottom w:val="single" w:color="000000" w:sz="4"/>
                    <w:right w:val="single" w:color="000000" w:sz="4"/>
                  </w:tcBorders>
                  <w:vAlign w:val="top"/>
                </w:tcPr>
                <w:p>
                  <w:pPr>
                    <w:jc w:val="center"/>
                  </w:pPr>
                  <w:r>
                    <w:rPr>
                      <w:b/>
                      <w:color w:val="000000"/>
                      <w:sz w:val="24"/>
                    </w:rPr>
                    <w:t>4</w:t>
                  </w:r>
                </w:p>
              </w:tc>
              <w:tc>
                <w:tcPr>
                  <w:tcW w:type="dxa" w:w="1399"/>
                  <w:tcBorders>
                    <w:top w:val="none" w:color="000000" w:sz="4"/>
                    <w:left w:val="single" w:color="000000" w:sz="4"/>
                    <w:bottom w:val="single" w:color="000000" w:sz="4"/>
                    <w:right w:val="single" w:color="000000" w:sz="4"/>
                  </w:tcBorders>
                  <w:vAlign w:val="top"/>
                </w:tcPr>
                <w:p>
                  <w:r>
                    <w:rPr>
                      <w:b/>
                      <w:color w:val="000000"/>
                      <w:sz w:val="24"/>
                    </w:rPr>
                    <w:t>窗口评价器</w:t>
                  </w:r>
                </w:p>
              </w:tc>
              <w:tc>
                <w:tcPr>
                  <w:tcW w:type="dxa" w:w="1399"/>
                  <w:tcBorders>
                    <w:top w:val="none" w:color="000000" w:sz="4"/>
                    <w:left w:val="single" w:color="000000" w:sz="4"/>
                    <w:bottom w:val="single" w:color="000000" w:sz="4"/>
                    <w:right w:val="single" w:color="000000" w:sz="4"/>
                  </w:tcBorders>
                  <w:vAlign w:val="top"/>
                </w:tcPr>
                <w:p>
                  <w:r>
                    <w:rPr>
                      <w:color w:val="000000"/>
                      <w:sz w:val="24"/>
                    </w:rPr>
                    <w:t>▲1</w:t>
                  </w:r>
                  <w:r>
                    <w:rPr>
                      <w:color w:val="000000"/>
                      <w:sz w:val="24"/>
                    </w:rPr>
                    <w:t>、显示尺寸：</w:t>
                  </w:r>
                  <w:r>
                    <w:rPr>
                      <w:color w:val="000000"/>
                      <w:sz w:val="24"/>
                    </w:rPr>
                    <w:t>10.1"</w:t>
                  </w:r>
                  <w:r>
                    <w:rPr>
                      <w:color w:val="000000"/>
                      <w:sz w:val="24"/>
                    </w:rPr>
                    <w:t>高清</w:t>
                  </w:r>
                  <w:r>
                    <w:rPr>
                      <w:color w:val="000000"/>
                      <w:sz w:val="24"/>
                    </w:rPr>
                    <w:t>IPS</w:t>
                  </w:r>
                  <w:r>
                    <w:rPr>
                      <w:color w:val="000000"/>
                      <w:sz w:val="24"/>
                    </w:rPr>
                    <w:t>屏</w:t>
                  </w:r>
                  <w:r>
                    <w:rPr>
                      <w:color w:val="000000"/>
                      <w:sz w:val="24"/>
                    </w:rPr>
                    <w:t>,10</w:t>
                  </w:r>
                  <w:r>
                    <w:rPr>
                      <w:color w:val="000000"/>
                      <w:sz w:val="24"/>
                    </w:rPr>
                    <w:t>点电容式触摸；</w:t>
                  </w:r>
                </w:p>
                <w:p>
                  <w:pPr>
                    <w:jc w:val="both"/>
                  </w:pPr>
                  <w:r>
                    <w:rPr>
                      <w:color w:val="000000"/>
                      <w:sz w:val="24"/>
                    </w:rPr>
                    <w:t>2</w:t>
                  </w:r>
                  <w:r>
                    <w:rPr>
                      <w:color w:val="000000"/>
                      <w:sz w:val="24"/>
                    </w:rPr>
                    <w:t>、屏幕参数：分辨率</w:t>
                  </w:r>
                  <w:r>
                    <w:rPr>
                      <w:color w:val="000000"/>
                      <w:sz w:val="24"/>
                    </w:rPr>
                    <w:t>1280*800</w:t>
                  </w:r>
                  <w:r>
                    <w:rPr>
                      <w:color w:val="000000"/>
                      <w:sz w:val="24"/>
                    </w:rPr>
                    <w:t>，对比度</w:t>
                  </w:r>
                  <w:r>
                    <w:rPr>
                      <w:color w:val="000000"/>
                      <w:sz w:val="24"/>
                    </w:rPr>
                    <w:t>800</w:t>
                  </w:r>
                  <w:r>
                    <w:rPr>
                      <w:color w:val="000000"/>
                      <w:sz w:val="24"/>
                    </w:rPr>
                    <w:t>，亮度</w:t>
                  </w:r>
                  <w:r>
                    <w:rPr>
                      <w:color w:val="000000"/>
                      <w:sz w:val="24"/>
                    </w:rPr>
                    <w:t>250cd/m2</w:t>
                  </w:r>
                  <w:r>
                    <w:rPr>
                      <w:color w:val="000000"/>
                      <w:sz w:val="24"/>
                    </w:rPr>
                    <w:t>，屏幕比例</w:t>
                  </w:r>
                  <w:r>
                    <w:rPr>
                      <w:color w:val="000000"/>
                      <w:sz w:val="24"/>
                    </w:rPr>
                    <w:t>16</w:t>
                  </w:r>
                  <w:r>
                    <w:rPr>
                      <w:color w:val="000000"/>
                      <w:sz w:val="24"/>
                    </w:rPr>
                    <w:t>：</w:t>
                  </w:r>
                  <w:r>
                    <w:rPr>
                      <w:color w:val="000000"/>
                      <w:sz w:val="24"/>
                    </w:rPr>
                    <w:t>10</w:t>
                  </w:r>
                  <w:r>
                    <w:rPr>
                      <w:color w:val="000000"/>
                      <w:sz w:val="24"/>
                    </w:rPr>
                    <w:t>；</w:t>
                  </w:r>
                </w:p>
                <w:p>
                  <w:pPr>
                    <w:jc w:val="both"/>
                  </w:pPr>
                  <w:r>
                    <w:rPr>
                      <w:color w:val="000000"/>
                      <w:sz w:val="24"/>
                    </w:rPr>
                    <w:t>▲3</w:t>
                  </w:r>
                  <w:r>
                    <w:rPr>
                      <w:color w:val="000000"/>
                      <w:sz w:val="24"/>
                    </w:rPr>
                    <w:t>、主机参数：</w:t>
                  </w:r>
                  <w:r>
                    <w:rPr>
                      <w:color w:val="000000"/>
                      <w:sz w:val="24"/>
                    </w:rPr>
                    <w:t>CPU:</w:t>
                  </w:r>
                  <w:r>
                    <w:rPr>
                      <w:color w:val="000000"/>
                      <w:sz w:val="24"/>
                    </w:rPr>
                    <w:t>四核</w:t>
                  </w:r>
                  <w:r>
                    <w:rPr>
                      <w:color w:val="000000"/>
                      <w:sz w:val="24"/>
                    </w:rPr>
                    <w:t>,Cortex A7,1.2G</w:t>
                  </w:r>
                  <w:r>
                    <w:rPr>
                      <w:color w:val="000000"/>
                      <w:sz w:val="24"/>
                    </w:rPr>
                    <w:t>，</w:t>
                  </w:r>
                  <w:r>
                    <w:rPr>
                      <w:color w:val="000000"/>
                      <w:sz w:val="24"/>
                    </w:rPr>
                    <w:t>RK3128</w:t>
                  </w:r>
                  <w:r>
                    <w:rPr>
                      <w:color w:val="000000"/>
                      <w:sz w:val="24"/>
                    </w:rPr>
                    <w:t>，运行内存</w:t>
                  </w:r>
                  <w:r>
                    <w:rPr>
                      <w:color w:val="000000"/>
                      <w:sz w:val="24"/>
                    </w:rPr>
                    <w:t>1GB</w:t>
                  </w:r>
                  <w:r>
                    <w:rPr>
                      <w:color w:val="000000"/>
                      <w:sz w:val="24"/>
                    </w:rPr>
                    <w:t>，存储内存</w:t>
                  </w:r>
                  <w:r>
                    <w:rPr>
                      <w:color w:val="000000"/>
                      <w:sz w:val="24"/>
                    </w:rPr>
                    <w:t>16GB</w:t>
                  </w:r>
                  <w:r>
                    <w:rPr>
                      <w:color w:val="000000"/>
                      <w:sz w:val="24"/>
                    </w:rPr>
                    <w:t>；</w:t>
                  </w:r>
                </w:p>
                <w:p>
                  <w:pPr>
                    <w:jc w:val="both"/>
                  </w:pPr>
                  <w:r>
                    <w:rPr>
                      <w:color w:val="000000"/>
                      <w:sz w:val="24"/>
                    </w:rPr>
                    <w:t>4</w:t>
                  </w:r>
                  <w:r>
                    <w:rPr>
                      <w:color w:val="000000"/>
                      <w:sz w:val="24"/>
                    </w:rPr>
                    <w:t>、操作系统：</w:t>
                  </w:r>
                  <w:r>
                    <w:rPr>
                      <w:color w:val="000000"/>
                      <w:sz w:val="24"/>
                    </w:rPr>
                    <w:t>Android</w:t>
                  </w:r>
                  <w:r>
                    <w:rPr>
                      <w:color w:val="000000"/>
                      <w:sz w:val="24"/>
                    </w:rPr>
                    <w:t>；</w:t>
                  </w:r>
                </w:p>
                <w:p>
                  <w:pPr>
                    <w:jc w:val="both"/>
                  </w:pPr>
                  <w:r>
                    <w:rPr>
                      <w:color w:val="000000"/>
                      <w:sz w:val="24"/>
                    </w:rPr>
                    <w:t>5</w:t>
                  </w:r>
                  <w:r>
                    <w:rPr>
                      <w:color w:val="000000"/>
                      <w:sz w:val="24"/>
                    </w:rPr>
                    <w:t>、硬件接口：</w:t>
                  </w:r>
                  <w:r>
                    <w:rPr>
                      <w:color w:val="000000"/>
                      <w:sz w:val="24"/>
                    </w:rPr>
                    <w:t>USB</w:t>
                  </w:r>
                  <w:r>
                    <w:rPr>
                      <w:color w:val="000000"/>
                      <w:sz w:val="24"/>
                    </w:rPr>
                    <w:t>类型接口、</w:t>
                  </w:r>
                  <w:r>
                    <w:rPr>
                      <w:color w:val="000000"/>
                      <w:sz w:val="24"/>
                    </w:rPr>
                    <w:t>HDMI output</w:t>
                  </w:r>
                  <w:r>
                    <w:rPr>
                      <w:color w:val="000000"/>
                      <w:sz w:val="24"/>
                    </w:rPr>
                    <w:t>、</w:t>
                  </w:r>
                  <w:r>
                    <w:rPr>
                      <w:color w:val="000000"/>
                      <w:sz w:val="24"/>
                    </w:rPr>
                    <w:t>DC</w:t>
                  </w:r>
                  <w:r>
                    <w:rPr>
                      <w:color w:val="000000"/>
                      <w:sz w:val="24"/>
                    </w:rPr>
                    <w:t>电源输入、耳机、</w:t>
                  </w:r>
                  <w:r>
                    <w:rPr>
                      <w:color w:val="000000"/>
                      <w:sz w:val="24"/>
                    </w:rPr>
                    <w:t>RJ45</w:t>
                  </w:r>
                  <w:r>
                    <w:rPr>
                      <w:color w:val="000000"/>
                      <w:sz w:val="24"/>
                    </w:rPr>
                    <w:t>；</w:t>
                  </w:r>
                </w:p>
                <w:p>
                  <w:pPr>
                    <w:jc w:val="both"/>
                  </w:pPr>
                  <w:r>
                    <w:rPr>
                      <w:color w:val="000000"/>
                      <w:sz w:val="24"/>
                    </w:rPr>
                    <w:t>6</w:t>
                  </w:r>
                  <w:r>
                    <w:rPr>
                      <w:color w:val="000000"/>
                      <w:sz w:val="24"/>
                    </w:rPr>
                    <w:t>、摄像头：前置</w:t>
                  </w:r>
                  <w:r>
                    <w:rPr>
                      <w:color w:val="000000"/>
                      <w:sz w:val="24"/>
                    </w:rPr>
                    <w:t>200W</w:t>
                  </w:r>
                  <w:r>
                    <w:rPr>
                      <w:color w:val="000000"/>
                      <w:sz w:val="24"/>
                    </w:rPr>
                    <w:t>摄像头</w:t>
                  </w:r>
                  <w:r>
                    <w:rPr>
                      <w:color w:val="000000"/>
                      <w:sz w:val="24"/>
                    </w:rPr>
                    <w:t>;</w:t>
                  </w:r>
                </w:p>
                <w:p>
                  <w:pPr>
                    <w:jc w:val="both"/>
                  </w:pPr>
                  <w:r>
                    <w:rPr>
                      <w:color w:val="000000"/>
                      <w:sz w:val="24"/>
                    </w:rPr>
                    <w:t>7</w:t>
                  </w:r>
                  <w:r>
                    <w:rPr>
                      <w:color w:val="000000"/>
                      <w:sz w:val="24"/>
                    </w:rPr>
                    <w:t>、工作温度：</w:t>
                  </w:r>
                  <w:r>
                    <w:rPr>
                      <w:color w:val="000000"/>
                      <w:sz w:val="24"/>
                    </w:rPr>
                    <w:t>0~40</w:t>
                  </w:r>
                  <w:r>
                    <w:rPr>
                      <w:color w:val="000000"/>
                      <w:sz w:val="24"/>
                    </w:rPr>
                    <w:t>度；</w:t>
                  </w:r>
                </w:p>
                <w:p>
                  <w:pPr>
                    <w:jc w:val="both"/>
                  </w:pPr>
                  <w:r>
                    <w:rPr>
                      <w:color w:val="000000"/>
                      <w:sz w:val="24"/>
                    </w:rPr>
                    <w:t>8</w:t>
                  </w:r>
                  <w:r>
                    <w:rPr>
                      <w:color w:val="000000"/>
                      <w:sz w:val="24"/>
                    </w:rPr>
                    <w:t>、网络类型：内置</w:t>
                  </w:r>
                  <w:r>
                    <w:rPr>
                      <w:color w:val="000000"/>
                      <w:sz w:val="24"/>
                    </w:rPr>
                    <w:t>RJ45</w:t>
                  </w:r>
                  <w:r>
                    <w:rPr>
                      <w:color w:val="000000"/>
                      <w:sz w:val="24"/>
                    </w:rPr>
                    <w:t>网口，网络：</w:t>
                  </w:r>
                  <w:r>
                    <w:rPr>
                      <w:color w:val="000000"/>
                      <w:sz w:val="24"/>
                    </w:rPr>
                    <w:t>WiFi</w:t>
                  </w:r>
                  <w:r>
                    <w:rPr>
                      <w:color w:val="000000"/>
                      <w:sz w:val="24"/>
                    </w:rPr>
                    <w:t>、蓝牙</w:t>
                  </w:r>
                  <w:r>
                    <w:rPr>
                      <w:color w:val="000000"/>
                      <w:sz w:val="24"/>
                    </w:rPr>
                    <w:t>4.0</w:t>
                  </w:r>
                  <w:r>
                    <w:rPr>
                      <w:color w:val="000000"/>
                      <w:sz w:val="24"/>
                    </w:rPr>
                    <w:t>、</w:t>
                  </w:r>
                  <w:r>
                    <w:rPr>
                      <w:color w:val="000000"/>
                      <w:sz w:val="24"/>
                    </w:rPr>
                    <w:t>RJ45,10M/100M</w:t>
                  </w:r>
                  <w:r>
                    <w:rPr>
                      <w:color w:val="000000"/>
                      <w:sz w:val="24"/>
                    </w:rPr>
                    <w:t>以太网；</w:t>
                  </w:r>
                </w:p>
                <w:p>
                  <w:pPr>
                    <w:jc w:val="both"/>
                  </w:pPr>
                  <w:r>
                    <w:rPr>
                      <w:color w:val="000000"/>
                      <w:sz w:val="24"/>
                    </w:rPr>
                    <w:t>9</w:t>
                  </w:r>
                  <w:r>
                    <w:rPr>
                      <w:color w:val="000000"/>
                      <w:sz w:val="24"/>
                    </w:rPr>
                    <w:t>、尺寸：</w:t>
                  </w:r>
                  <w:r>
                    <w:rPr>
                      <w:color w:val="000000"/>
                      <w:sz w:val="24"/>
                    </w:rPr>
                    <w:t>256.58mm*108.5mm*185.76mm</w:t>
                  </w:r>
                  <w:r>
                    <w:rPr>
                      <w:color w:val="000000"/>
                      <w:sz w:val="24"/>
                    </w:rPr>
                    <w:t>；</w:t>
                  </w:r>
                </w:p>
                <w:p/>
                <w:p>
                  <w:r>
                    <w:rPr>
                      <w:color w:val="000000"/>
                      <w:sz w:val="24"/>
                    </w:rPr>
                    <w:t>10、适配器：电源适配器 5V/2A ；</w:t>
                  </w:r>
                </w:p>
              </w:tc>
              <w:tc>
                <w:tcPr>
                  <w:tcW w:type="dxa" w:w="1399"/>
                  <w:tcBorders>
                    <w:top w:val="none" w:color="000000" w:sz="4"/>
                    <w:left w:val="single" w:color="000000" w:sz="4"/>
                    <w:bottom w:val="single" w:color="000000" w:sz="4"/>
                    <w:right w:val="single" w:color="000000" w:sz="4"/>
                  </w:tcBorders>
                  <w:vAlign w:val="top"/>
                </w:tcPr>
                <w:p>
                  <w:pPr>
                    <w:jc w:val="center"/>
                  </w:pPr>
                  <w:r>
                    <w:rPr>
                      <w:b/>
                      <w:color w:val="000000"/>
                      <w:sz w:val="24"/>
                    </w:rPr>
                    <w:t>213</w:t>
                  </w:r>
                </w:p>
                <w:p>
                  <w:pPr>
                    <w:jc w:val="center"/>
                  </w:pPr>
                </w:p>
              </w:tc>
            </w:tr>
          </w:tbl>
        </w:tc>
      </w:tr>
      <w:tr>
        <w:tc>
          <w:tcPr>
            <w:tcW w:type="dxa" w:w="2076"/>
          </w:tcPr>
          <w:p/>
        </w:tc>
        <w:tc>
          <w:tcPr>
            <w:tcW w:type="dxa" w:w="415"/>
          </w:tcPr>
          <w:p>
            <w:r>
              <w:rPr/>
              <w:t>5</w:t>
            </w:r>
          </w:p>
        </w:tc>
        <w:tc>
          <w:tcPr>
            <w:tcW w:type="dxa" w:w="5814"/>
          </w:tcPr>
          <w:p>
            <w:pPr>
              <w:jc w:val="both"/>
            </w:pPr>
            <w:r>
              <w:rPr>
                <w:color w:val="000000"/>
                <w:sz w:val="24"/>
              </w:rPr>
              <w:t>五、</w:t>
            </w:r>
            <w:r>
              <w:rPr>
                <w:color w:val="000000"/>
                <w:sz w:val="24"/>
              </w:rPr>
              <w:t>信息化能力提升内容</w:t>
            </w:r>
          </w:p>
          <w:p>
            <w:pPr>
              <w:ind w:firstLine="720"/>
              <w:jc w:val="both"/>
            </w:pPr>
            <w:r>
              <w:rPr>
                <w:color w:val="000000"/>
                <w:sz w:val="24"/>
              </w:rPr>
              <w:t>为加快提升各级行政服务中心信息化和数字化服务能力，本次项目改造需在</w:t>
            </w:r>
            <w:r>
              <w:rPr>
                <w:color w:val="000000"/>
                <w:sz w:val="24"/>
              </w:rPr>
              <w:t>4</w:t>
            </w:r>
            <w:r>
              <w:rPr>
                <w:color w:val="000000"/>
                <w:sz w:val="24"/>
              </w:rPr>
              <w:t>个县（市、区）行政服务中心部署排队取号机、窗口叫号器、集中显示屏、窗口评价器等硬件设备一批，由运营商负责上述产品、配件和软件的安装调试。</w:t>
            </w:r>
          </w:p>
          <w:p>
            <w:pPr>
              <w:jc w:val="both"/>
            </w:pPr>
            <w:r>
              <w:rPr>
                <w:color w:val="000000"/>
                <w:sz w:val="24"/>
              </w:rPr>
              <w:t>5.1</w:t>
            </w:r>
            <w:r>
              <w:rPr>
                <w:color w:val="000000"/>
                <w:sz w:val="24"/>
              </w:rPr>
              <w:t>排队取号机</w:t>
            </w:r>
          </w:p>
          <w:p>
            <w:pPr>
              <w:ind w:firstLine="480"/>
              <w:jc w:val="both"/>
            </w:pPr>
            <w:r>
              <w:rPr>
                <w:color w:val="000000"/>
                <w:sz w:val="24"/>
              </w:rPr>
              <w:t>项目拟采用</w:t>
            </w:r>
            <w:r>
              <w:rPr>
                <w:color w:val="000000"/>
                <w:sz w:val="24"/>
              </w:rPr>
              <w:t>≧32</w:t>
            </w:r>
            <w:r>
              <w:rPr>
                <w:color w:val="000000"/>
                <w:sz w:val="24"/>
              </w:rPr>
              <w:t>寸排队取号机自助终端机，取号机主要部署于政务大厅入口，提供预约取号和现场取号的服务，为办事群众提供轻松、有序、舒适的办事环境；排队取号主要通过利用智能的科学管理方式代替人为排队，解决大厅排队现场混乱、无序、拥挤的现象，实现政务大厅现场管理有序、过程可控，办事松轻的场景。</w:t>
            </w:r>
          </w:p>
          <w:p>
            <w:pPr>
              <w:jc w:val="both"/>
            </w:pPr>
            <w:r>
              <w:rPr>
                <w:color w:val="000000"/>
                <w:sz w:val="24"/>
              </w:rPr>
              <w:t>5.2</w:t>
            </w:r>
            <w:r>
              <w:rPr>
                <w:color w:val="000000"/>
                <w:sz w:val="24"/>
              </w:rPr>
              <w:t>窗口叫号器</w:t>
            </w:r>
          </w:p>
          <w:p>
            <w:pPr>
              <w:ind w:firstLine="480"/>
              <w:jc w:val="both"/>
            </w:pPr>
            <w:r>
              <w:rPr>
                <w:color w:val="000000"/>
                <w:sz w:val="24"/>
              </w:rPr>
              <w:t>项目拟采用窗口叫号器终端，通过对接云浮市统一叫号管理平台提供的标准数据接口，可以为窗口工作人员提供</w:t>
            </w:r>
            <w:r>
              <w:rPr>
                <w:color w:val="000000"/>
                <w:sz w:val="24"/>
              </w:rPr>
              <w:t>“</w:t>
            </w:r>
            <w:r>
              <w:rPr>
                <w:color w:val="000000"/>
                <w:sz w:val="24"/>
              </w:rPr>
              <w:t>呼叫</w:t>
            </w:r>
            <w:r>
              <w:rPr>
                <w:color w:val="000000"/>
                <w:sz w:val="24"/>
              </w:rPr>
              <w:t>”</w:t>
            </w:r>
            <w:r>
              <w:rPr>
                <w:color w:val="000000"/>
                <w:sz w:val="24"/>
              </w:rPr>
              <w:t>、</w:t>
            </w:r>
            <w:r>
              <w:rPr>
                <w:color w:val="000000"/>
                <w:sz w:val="24"/>
              </w:rPr>
              <w:t>“</w:t>
            </w:r>
            <w:r>
              <w:rPr>
                <w:color w:val="000000"/>
                <w:sz w:val="24"/>
              </w:rPr>
              <w:t>重呼</w:t>
            </w:r>
            <w:r>
              <w:rPr>
                <w:color w:val="000000"/>
                <w:sz w:val="24"/>
              </w:rPr>
              <w:t>”</w:t>
            </w:r>
            <w:r>
              <w:rPr>
                <w:color w:val="000000"/>
                <w:sz w:val="24"/>
              </w:rPr>
              <w:t>、</w:t>
            </w:r>
            <w:r>
              <w:rPr>
                <w:color w:val="000000"/>
                <w:sz w:val="24"/>
              </w:rPr>
              <w:t>“</w:t>
            </w:r>
            <w:r>
              <w:rPr>
                <w:color w:val="000000"/>
                <w:sz w:val="24"/>
              </w:rPr>
              <w:t>读卡</w:t>
            </w:r>
            <w:r>
              <w:rPr>
                <w:color w:val="000000"/>
                <w:sz w:val="24"/>
              </w:rPr>
              <w:t>”</w:t>
            </w:r>
            <w:r>
              <w:rPr>
                <w:color w:val="000000"/>
                <w:sz w:val="24"/>
              </w:rPr>
              <w:t>、</w:t>
            </w:r>
            <w:r>
              <w:rPr>
                <w:color w:val="000000"/>
                <w:sz w:val="24"/>
              </w:rPr>
              <w:t>“</w:t>
            </w:r>
            <w:r>
              <w:rPr>
                <w:color w:val="000000"/>
                <w:sz w:val="24"/>
              </w:rPr>
              <w:t>作废</w:t>
            </w:r>
            <w:r>
              <w:rPr>
                <w:color w:val="000000"/>
                <w:sz w:val="24"/>
              </w:rPr>
              <w:t>”</w:t>
            </w:r>
            <w:r>
              <w:rPr>
                <w:color w:val="000000"/>
                <w:sz w:val="24"/>
              </w:rPr>
              <w:t>等叫号操作。</w:t>
            </w:r>
          </w:p>
          <w:p>
            <w:pPr>
              <w:jc w:val="both"/>
            </w:pPr>
            <w:r>
              <w:rPr>
                <w:color w:val="000000"/>
                <w:sz w:val="24"/>
              </w:rPr>
              <w:t>5.3</w:t>
            </w:r>
            <w:r>
              <w:rPr>
                <w:color w:val="000000"/>
                <w:sz w:val="24"/>
              </w:rPr>
              <w:t>集中显示器（利旧与新增）</w:t>
            </w:r>
          </w:p>
          <w:p>
            <w:pPr>
              <w:ind w:firstLine="480"/>
              <w:jc w:val="both"/>
            </w:pPr>
            <w:r>
              <w:rPr>
                <w:color w:val="000000"/>
                <w:sz w:val="24"/>
              </w:rPr>
              <w:t>项目拟采用</w:t>
            </w:r>
            <w:r>
              <w:rPr>
                <w:color w:val="000000"/>
                <w:sz w:val="24"/>
              </w:rPr>
              <w:t>≧55</w:t>
            </w:r>
            <w:r>
              <w:rPr>
                <w:color w:val="000000"/>
                <w:sz w:val="24"/>
              </w:rPr>
              <w:t>寸综合信息显示屏与目前大厅使用的综合显示屏，通过读取信息数据接口，展示大厅业务办理信息包括：大厅排队信息、大厅呼叫信息、大厅业务办理信息、窗口等候情况。同时中心还可以自行维护发布相关新闻动态、政策文件公示、中心动态通知、大厅宣传视频。</w:t>
            </w:r>
          </w:p>
          <w:p>
            <w:pPr>
              <w:jc w:val="both"/>
            </w:pPr>
            <w:r>
              <w:rPr>
                <w:color w:val="000000"/>
                <w:sz w:val="24"/>
              </w:rPr>
              <w:t>5.4</w:t>
            </w:r>
            <w:r>
              <w:rPr>
                <w:color w:val="000000"/>
                <w:sz w:val="24"/>
              </w:rPr>
              <w:t>窗口评价器</w:t>
            </w:r>
          </w:p>
          <w:p>
            <w:pPr>
              <w:ind w:firstLine="480"/>
              <w:jc w:val="both"/>
            </w:pPr>
            <w:r>
              <w:rPr>
                <w:color w:val="000000"/>
                <w:sz w:val="24"/>
              </w:rPr>
              <w:t>项目拟采用</w:t>
            </w:r>
            <w:r>
              <w:rPr>
                <w:color w:val="000000"/>
                <w:sz w:val="24"/>
              </w:rPr>
              <w:t>≧10.1</w:t>
            </w:r>
            <w:r>
              <w:rPr>
                <w:color w:val="000000"/>
                <w:sz w:val="24"/>
              </w:rPr>
              <w:t>寸的窗口评价终端，通过与云浮市一体化公共服务平台提供的标准数据接口对接，可以结合现场环境，安装在各个办事窗口面向群众一侧，方便办事群众（企业）在事项办结后，根据办件质量、办件速度、服务态度、环境感知等多方面因素完成政务服务</w:t>
            </w:r>
            <w:r>
              <w:rPr>
                <w:color w:val="000000"/>
                <w:sz w:val="24"/>
              </w:rPr>
              <w:t>“</w:t>
            </w:r>
            <w:r>
              <w:rPr>
                <w:color w:val="000000"/>
                <w:sz w:val="24"/>
              </w:rPr>
              <w:t>好差评</w:t>
            </w:r>
            <w:r>
              <w:rPr>
                <w:color w:val="000000"/>
                <w:sz w:val="24"/>
              </w:rPr>
              <w:t>”</w:t>
            </w:r>
            <w:r>
              <w:rPr>
                <w:color w:val="000000"/>
                <w:sz w:val="24"/>
              </w:rPr>
              <w:t>评价。</w:t>
            </w:r>
          </w:p>
          <w:p>
            <w:pPr>
              <w:jc w:val="both"/>
            </w:pPr>
            <w:r>
              <w:rPr>
                <w:color w:val="000000"/>
                <w:sz w:val="24"/>
              </w:rPr>
              <w:t>5.5</w:t>
            </w:r>
            <w:r>
              <w:rPr>
                <w:color w:val="000000"/>
                <w:sz w:val="24"/>
              </w:rPr>
              <w:t>通体窗口显示屏（利旧改造）</w:t>
            </w:r>
          </w:p>
          <w:p>
            <w:pPr>
              <w:jc w:val="both"/>
            </w:pPr>
            <w:r>
              <w:rPr>
                <w:sz w:val="24"/>
                <w:u w:val="single"/>
              </w:rPr>
              <w:t>项目拟采用目前大厅使用的LED窗口通屏，通过读取云浮市一体化公共服务平台提供的标准数据接口，面向办事群众（企业）注明窗口的编号、实施机构名称、服务事项名称、动态显示窗口排队信息、自动标识红旗窗口、个人等状态信息。</w:t>
            </w:r>
          </w:p>
          <w:p>
            <w:pPr>
              <w:jc w:val="both"/>
            </w:pPr>
          </w:p>
        </w:tc>
      </w:tr>
      <w:tr>
        <w:tc>
          <w:tcPr>
            <w:tcW w:type="dxa" w:w="2076"/>
          </w:tcPr>
          <w:p/>
        </w:tc>
        <w:tc>
          <w:tcPr>
            <w:tcW w:type="dxa" w:w="415"/>
          </w:tcPr>
          <w:p>
            <w:r>
              <w:rPr/>
              <w:t>6</w:t>
            </w:r>
          </w:p>
        </w:tc>
        <w:tc>
          <w:tcPr>
            <w:tcW w:type="dxa" w:w="5814"/>
          </w:tcPr>
          <w:p>
            <w:pPr>
              <w:jc w:val="both"/>
            </w:pPr>
            <w:r>
              <w:rPr>
                <w:color w:val="000000"/>
                <w:sz w:val="24"/>
              </w:rPr>
              <w:t>六、</w:t>
            </w:r>
            <w:r>
              <w:rPr>
                <w:color w:val="000000"/>
                <w:sz w:val="24"/>
              </w:rPr>
              <w:t>业务功能清单</w:t>
            </w:r>
          </w:p>
          <w:tbl>
            <w:tblPr>
              <w:tblInd w:type="dxa" w:w="120"/>
              <w:tblBorders>
                <w:top w:val="none" w:color="000000" w:sz="4"/>
                <w:left w:val="none" w:color="000000" w:sz="4"/>
                <w:bottom w:val="none" w:color="000000" w:sz="4"/>
                <w:right w:val="none" w:color="000000" w:sz="4"/>
                <w:insideH w:val="none"/>
                <w:insideV w:val="none"/>
              </w:tblBorders>
            </w:tblPr>
            <w:tblGrid>
              <w:gridCol w:w="1140"/>
              <w:gridCol w:w="1425"/>
              <w:gridCol w:w="3015"/>
            </w:tblGrid>
            <w:tr>
              <w:tc>
                <w:tcPr>
                  <w:tcW w:type="dxa" w:w="1140"/>
                  <w:tcBorders>
                    <w:top w:val="single" w:color="000000" w:sz="4"/>
                    <w:left w:val="single" w:color="000000" w:sz="4"/>
                    <w:bottom w:val="single" w:color="000000" w:sz="4"/>
                    <w:right w:val="single" w:color="000000" w:sz="4"/>
                  </w:tcBorders>
                  <w:vAlign w:val="top"/>
                </w:tcPr>
                <w:p>
                  <w:pPr>
                    <w:jc w:val="both"/>
                  </w:pPr>
                  <w:r>
                    <w:rPr>
                      <w:b/>
                      <w:color w:val="000000"/>
                      <w:sz w:val="24"/>
                    </w:rPr>
                    <w:t>模块</w:t>
                  </w:r>
                </w:p>
              </w:tc>
              <w:tc>
                <w:tcPr>
                  <w:tcW w:type="dxa" w:w="1425"/>
                  <w:tcBorders>
                    <w:top w:val="single" w:color="000000" w:sz="4"/>
                    <w:left w:val="none" w:color="000000" w:sz="4"/>
                    <w:bottom w:val="single" w:color="000000" w:sz="4"/>
                    <w:right w:val="single" w:color="000000" w:sz="4"/>
                  </w:tcBorders>
                  <w:vAlign w:val="top"/>
                </w:tcPr>
                <w:p>
                  <w:pPr>
                    <w:jc w:val="both"/>
                  </w:pPr>
                  <w:r>
                    <w:rPr>
                      <w:b/>
                      <w:color w:val="000000"/>
                      <w:sz w:val="24"/>
                    </w:rPr>
                    <w:t>子模块</w:t>
                  </w:r>
                </w:p>
              </w:tc>
              <w:tc>
                <w:tcPr>
                  <w:tcW w:type="dxa" w:w="3015"/>
                  <w:tcBorders>
                    <w:top w:val="single" w:color="000000" w:sz="4"/>
                    <w:left w:val="none" w:color="000000" w:sz="4"/>
                    <w:bottom w:val="single" w:color="000000" w:sz="4"/>
                    <w:right w:val="single" w:color="000000" w:sz="4"/>
                  </w:tcBorders>
                  <w:vAlign w:val="top"/>
                </w:tcPr>
                <w:p>
                  <w:pPr>
                    <w:jc w:val="both"/>
                  </w:pPr>
                  <w:r>
                    <w:rPr>
                      <w:b/>
                      <w:color w:val="000000"/>
                      <w:sz w:val="24"/>
                    </w:rPr>
                    <w:t>功能描述</w:t>
                  </w:r>
                </w:p>
              </w:tc>
            </w:tr>
            <w:tr>
              <w:tc>
                <w:tcPr>
                  <w:tcW w:type="dxa" w:w="1140"/>
                  <w:tcBorders>
                    <w:top w:val="none" w:color="000000" w:sz="4"/>
                    <w:left w:val="single" w:color="000000" w:sz="4"/>
                    <w:bottom w:val="single" w:color="000000" w:sz="4"/>
                    <w:right w:val="single" w:color="000000" w:sz="4"/>
                  </w:tcBorders>
                  <w:vAlign w:val="top"/>
                </w:tcPr>
                <w:p>
                  <w:pPr>
                    <w:jc w:val="both"/>
                  </w:pPr>
                  <w:r>
                    <w:rPr>
                      <w:color w:val="000000"/>
                      <w:sz w:val="24"/>
                    </w:rPr>
                    <w:t>统一预约接口模块</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预约新增、修改、取消接口</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提供统一预约接口，方便与第三方预约系统或政务服务网预约平台对接</w:t>
                  </w:r>
                </w:p>
              </w:tc>
            </w:tr>
            <w:tr>
              <w:tc>
                <w:tcPr>
                  <w:tcW w:type="dxa" w:w="1140"/>
                  <w:vMerge w:val="restart"/>
                  <w:tcBorders>
                    <w:top w:val="none" w:color="000000" w:sz="4"/>
                    <w:left w:val="single" w:color="000000" w:sz="4"/>
                    <w:bottom w:val="single" w:color="000000" w:sz="4"/>
                    <w:right w:val="single" w:color="000000" w:sz="4"/>
                  </w:tcBorders>
                  <w:vAlign w:val="top"/>
                </w:tcPr>
                <w:p>
                  <w:pPr>
                    <w:jc w:val="both"/>
                  </w:pPr>
                  <w:r>
                    <w:rPr>
                      <w:color w:val="000000"/>
                      <w:sz w:val="24"/>
                    </w:rPr>
                    <w:t>统一窗口叫号模块</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接口对接方式叫号</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提供统一叫号接口方式，便于一窗系统界面集成叫号功能，具体的接口功能包括：窗口登录</w:t>
                  </w:r>
                  <w:r>
                    <w:rPr>
                      <w:color w:val="000000"/>
                      <w:sz w:val="24"/>
                    </w:rPr>
                    <w:t>/</w:t>
                  </w:r>
                  <w:r>
                    <w:rPr>
                      <w:color w:val="000000"/>
                      <w:sz w:val="24"/>
                    </w:rPr>
                    <w:t>退出、顺呼、重呼、呼叫转移、开始办理、暂停办理、结束办理、弃号、查询等候队列。</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悬浮外挂叫号</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提供一个悬浮在电脑桌面的客户端叫号功能</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平板模式叫号</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提供一个独立的平板设备来独立叫号，这种情况是窗口属于内网无法在桌面使用软件叫号的情况下叫号</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物理按键叫号</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提供一个物理按键叫号设备来叫号，也是应用在窗口属于内网的情况下叫号方式</w:t>
                  </w:r>
                </w:p>
              </w:tc>
            </w:tr>
            <w:tr>
              <w:tc>
                <w:tcPr>
                  <w:tcW w:type="dxa" w:w="1140"/>
                  <w:tcBorders>
                    <w:top w:val="none" w:color="000000" w:sz="4"/>
                    <w:left w:val="single" w:color="000000" w:sz="4"/>
                    <w:bottom w:val="single" w:color="000000" w:sz="4"/>
                    <w:right w:val="single" w:color="000000" w:sz="4"/>
                  </w:tcBorders>
                  <w:vAlign w:val="top"/>
                </w:tcPr>
                <w:p>
                  <w:pPr>
                    <w:jc w:val="both"/>
                  </w:pPr>
                  <w:r>
                    <w:rPr>
                      <w:color w:val="000000"/>
                      <w:sz w:val="24"/>
                    </w:rPr>
                    <w:t>统一窗口水牌界面</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窗口号、人员头像、姓名、岗位、联系电话、服务口号显示</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大厅统一水牌显示界面，统一窗口对外</w:t>
                  </w:r>
                  <w:r>
                    <w:rPr>
                      <w:color w:val="000000"/>
                      <w:sz w:val="24"/>
                    </w:rPr>
                    <w:t>UI</w:t>
                  </w:r>
                  <w:r>
                    <w:rPr>
                      <w:color w:val="000000"/>
                      <w:sz w:val="24"/>
                    </w:rPr>
                    <w:t>显示，提升大厅整体形象。（根据需要定制设计）</w:t>
                  </w:r>
                </w:p>
              </w:tc>
            </w:tr>
            <w:tr>
              <w:tc>
                <w:tcPr>
                  <w:tcW w:type="dxa" w:w="1140"/>
                  <w:tcBorders>
                    <w:top w:val="none" w:color="000000" w:sz="4"/>
                    <w:left w:val="single" w:color="000000" w:sz="4"/>
                    <w:bottom w:val="single" w:color="000000" w:sz="4"/>
                    <w:right w:val="single" w:color="000000" w:sz="4"/>
                  </w:tcBorders>
                  <w:vAlign w:val="top"/>
                </w:tcPr>
                <w:p>
                  <w:pPr>
                    <w:jc w:val="both"/>
                  </w:pPr>
                  <w:r>
                    <w:rPr>
                      <w:color w:val="000000"/>
                      <w:sz w:val="24"/>
                    </w:rPr>
                    <w:t>统一评价界面</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设置</w:t>
                  </w:r>
                  <w:r>
                    <w:rPr>
                      <w:color w:val="000000"/>
                      <w:sz w:val="24"/>
                    </w:rPr>
                    <w:t>“</w:t>
                  </w:r>
                  <w:r>
                    <w:rPr>
                      <w:color w:val="000000"/>
                      <w:sz w:val="24"/>
                    </w:rPr>
                    <w:t>非常满意</w:t>
                  </w:r>
                  <w:r>
                    <w:rPr>
                      <w:color w:val="000000"/>
                      <w:sz w:val="24"/>
                    </w:rPr>
                    <w:t>”“</w:t>
                  </w:r>
                  <w:r>
                    <w:rPr>
                      <w:color w:val="000000"/>
                      <w:sz w:val="24"/>
                    </w:rPr>
                    <w:t>满意</w:t>
                  </w:r>
                  <w:r>
                    <w:rPr>
                      <w:color w:val="000000"/>
                      <w:sz w:val="24"/>
                    </w:rPr>
                    <w:t>”“</w:t>
                  </w:r>
                  <w:r>
                    <w:rPr>
                      <w:color w:val="000000"/>
                      <w:sz w:val="24"/>
                    </w:rPr>
                    <w:t>基本满意</w:t>
                  </w:r>
                  <w:r>
                    <w:rPr>
                      <w:color w:val="000000"/>
                      <w:sz w:val="24"/>
                    </w:rPr>
                    <w:t>”“</w:t>
                  </w:r>
                  <w:r>
                    <w:rPr>
                      <w:color w:val="000000"/>
                      <w:sz w:val="24"/>
                    </w:rPr>
                    <w:t>不满意</w:t>
                  </w:r>
                  <w:r>
                    <w:rPr>
                      <w:color w:val="000000"/>
                      <w:sz w:val="24"/>
                    </w:rPr>
                    <w:t>”“</w:t>
                  </w:r>
                  <w:r>
                    <w:rPr>
                      <w:color w:val="000000"/>
                      <w:sz w:val="24"/>
                    </w:rPr>
                    <w:t>非常不满意</w:t>
                  </w:r>
                  <w:r>
                    <w:rPr>
                      <w:color w:val="000000"/>
                      <w:sz w:val="24"/>
                    </w:rPr>
                    <w:t>”</w:t>
                  </w:r>
                  <w:r>
                    <w:rPr>
                      <w:color w:val="000000"/>
                      <w:sz w:val="24"/>
                    </w:rPr>
                    <w:t>五个等级，对应的分值分别为</w:t>
                  </w:r>
                  <w:r>
                    <w:rPr>
                      <w:color w:val="000000"/>
                      <w:sz w:val="24"/>
                    </w:rPr>
                    <w:t>10</w:t>
                  </w:r>
                  <w:r>
                    <w:rPr>
                      <w:color w:val="000000"/>
                      <w:sz w:val="24"/>
                    </w:rPr>
                    <w:t>分、</w:t>
                  </w:r>
                  <w:r>
                    <w:rPr>
                      <w:color w:val="000000"/>
                      <w:sz w:val="24"/>
                    </w:rPr>
                    <w:t>8</w:t>
                  </w:r>
                  <w:r>
                    <w:rPr>
                      <w:color w:val="000000"/>
                      <w:sz w:val="24"/>
                    </w:rPr>
                    <w:t>分、</w:t>
                  </w:r>
                  <w:r>
                    <w:rPr>
                      <w:color w:val="000000"/>
                      <w:sz w:val="24"/>
                    </w:rPr>
                    <w:t>6</w:t>
                  </w:r>
                  <w:r>
                    <w:rPr>
                      <w:color w:val="000000"/>
                      <w:sz w:val="24"/>
                    </w:rPr>
                    <w:t>分、</w:t>
                  </w:r>
                  <w:r>
                    <w:rPr>
                      <w:color w:val="000000"/>
                      <w:sz w:val="24"/>
                    </w:rPr>
                    <w:t>3</w:t>
                  </w:r>
                  <w:r>
                    <w:rPr>
                      <w:color w:val="000000"/>
                      <w:sz w:val="24"/>
                    </w:rPr>
                    <w:t>分、</w:t>
                  </w:r>
                  <w:r>
                    <w:rPr>
                      <w:color w:val="000000"/>
                      <w:sz w:val="24"/>
                    </w:rPr>
                    <w:t>0</w:t>
                  </w:r>
                  <w:r>
                    <w:rPr>
                      <w:color w:val="000000"/>
                      <w:sz w:val="24"/>
                    </w:rPr>
                    <w:t>分</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大厅统一评价界面，群众办理完成后切换到评价界面进行业务评价，统一收集办理服务质量数据，上报省市级统一服务评价系统平台。（根据需要定制设计）</w:t>
                  </w:r>
                </w:p>
              </w:tc>
            </w:tr>
            <w:tr>
              <w:tc>
                <w:tcPr>
                  <w:tcW w:type="dxa" w:w="1140"/>
                  <w:vMerge w:val="restart"/>
                  <w:tcBorders>
                    <w:top w:val="none" w:color="000000" w:sz="4"/>
                    <w:left w:val="single" w:color="000000" w:sz="4"/>
                    <w:bottom w:val="single" w:color="000000" w:sz="4"/>
                    <w:right w:val="single" w:color="000000" w:sz="4"/>
                  </w:tcBorders>
                  <w:vAlign w:val="top"/>
                </w:tcPr>
                <w:p>
                  <w:pPr>
                    <w:jc w:val="both"/>
                  </w:pPr>
                  <w:r>
                    <w:rPr>
                      <w:color w:val="000000"/>
                      <w:sz w:val="24"/>
                    </w:rPr>
                    <w:t>大厅窗口条屏显示模块</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室内全彩</w:t>
                  </w:r>
                  <w:r>
                    <w:rPr>
                      <w:color w:val="000000"/>
                      <w:sz w:val="24"/>
                    </w:rPr>
                    <w:t>LED</w:t>
                  </w:r>
                  <w:r>
                    <w:rPr>
                      <w:color w:val="000000"/>
                      <w:sz w:val="24"/>
                    </w:rPr>
                    <w:t>同步屏模块</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包括</w:t>
                  </w:r>
                  <w:r>
                    <w:rPr>
                      <w:color w:val="000000"/>
                      <w:sz w:val="24"/>
                    </w:rPr>
                    <w:t>LED</w:t>
                  </w:r>
                  <w:r>
                    <w:rPr>
                      <w:color w:val="000000"/>
                      <w:sz w:val="24"/>
                    </w:rPr>
                    <w:t>模块、主控单元、同步卡、显示主机、显示器、条屏显示播放器等组成</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室内双基色</w:t>
                  </w:r>
                  <w:r>
                    <w:rPr>
                      <w:color w:val="000000"/>
                      <w:sz w:val="24"/>
                    </w:rPr>
                    <w:t>LED</w:t>
                  </w:r>
                  <w:r>
                    <w:rPr>
                      <w:color w:val="000000"/>
                      <w:sz w:val="24"/>
                    </w:rPr>
                    <w:t>窗口异步屏单元模块</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包括</w:t>
                  </w:r>
                  <w:r>
                    <w:rPr>
                      <w:color w:val="000000"/>
                      <w:sz w:val="24"/>
                    </w:rPr>
                    <w:t>LED</w:t>
                  </w:r>
                  <w:r>
                    <w:rPr>
                      <w:color w:val="000000"/>
                      <w:sz w:val="24"/>
                    </w:rPr>
                    <w:t>模块、异步控制器、接收卡、信息发送电脑主机组成</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液晶电视机窗口显示模块</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一体化电视屏、主机组成，可以是安卓主机也可以是</w:t>
                  </w:r>
                  <w:r>
                    <w:rPr>
                      <w:color w:val="000000"/>
                      <w:sz w:val="24"/>
                    </w:rPr>
                    <w:t>X86</w:t>
                  </w:r>
                  <w:r>
                    <w:rPr>
                      <w:color w:val="000000"/>
                      <w:sz w:val="24"/>
                    </w:rPr>
                    <w:t>主机</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大厅窗口条屏显示客户端软件</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提供窗口名称、窗口号、排队号、可办理业务名称、状态、等待队列等信息实时滚动显示</w:t>
                  </w:r>
                </w:p>
              </w:tc>
            </w:tr>
            <w:tr>
              <w:tc>
                <w:tcPr>
                  <w:tcW w:type="dxa" w:w="1140"/>
                  <w:tcBorders>
                    <w:top w:val="none" w:color="000000" w:sz="4"/>
                    <w:left w:val="single" w:color="000000" w:sz="4"/>
                    <w:bottom w:val="single" w:color="000000" w:sz="4"/>
                    <w:right w:val="single" w:color="000000" w:sz="4"/>
                  </w:tcBorders>
                  <w:vAlign w:val="top"/>
                </w:tcPr>
                <w:p>
                  <w:pPr>
                    <w:jc w:val="both"/>
                  </w:pPr>
                  <w:r>
                    <w:rPr>
                      <w:color w:val="000000"/>
                      <w:sz w:val="24"/>
                    </w:rPr>
                    <w:t>大厅等候集中显示大屏</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液晶电视机集中叫号等候显示模块</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32</w:t>
                  </w:r>
                  <w:r>
                    <w:rPr>
                      <w:color w:val="000000"/>
                      <w:sz w:val="24"/>
                    </w:rPr>
                    <w:t>寸广告播放电视机，可以在竖屏及横屏安装</w:t>
                  </w:r>
                </w:p>
              </w:tc>
            </w:tr>
            <w:tr>
              <w:tc>
                <w:tcPr>
                  <w:tcW w:type="dxa" w:w="1140"/>
                  <w:tcBorders>
                    <w:top w:val="none" w:color="000000" w:sz="4"/>
                    <w:left w:val="single" w:color="000000" w:sz="4"/>
                    <w:bottom w:val="single" w:color="000000" w:sz="4"/>
                    <w:right w:val="single" w:color="000000" w:sz="4"/>
                  </w:tcBorders>
                  <w:vAlign w:val="top"/>
                </w:tcPr>
                <w:p>
                  <w:pPr>
                    <w:jc w:val="both"/>
                  </w:p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统一集中等候显示客户端</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提供窗口号、排队号、业务名称、状态、姓名、身份证、过号提示等实时信息显示</w:t>
                  </w:r>
                </w:p>
              </w:tc>
            </w:tr>
            <w:tr>
              <w:tc>
                <w:tcPr>
                  <w:tcW w:type="dxa" w:w="1140"/>
                  <w:vMerge w:val="restart"/>
                  <w:tcBorders>
                    <w:top w:val="none" w:color="000000" w:sz="4"/>
                    <w:left w:val="single" w:color="000000" w:sz="4"/>
                    <w:bottom w:val="single" w:color="000000" w:sz="4"/>
                    <w:right w:val="single" w:color="000000" w:sz="4"/>
                  </w:tcBorders>
                  <w:vAlign w:val="top"/>
                </w:tcPr>
                <w:p>
                  <w:pPr>
                    <w:jc w:val="both"/>
                  </w:pPr>
                  <w:r>
                    <w:rPr>
                      <w:color w:val="000000"/>
                      <w:sz w:val="24"/>
                    </w:rPr>
                    <w:t>大厅取票客户端</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智能取票机</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公司提供的取票设备</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取票前端界面</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提供预约取号、现场取号、绿色通道、现场预约等取号方式，集成刷身份证、社保卡、手机号码、刷人脸、二维码等多种登录模式</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中间件</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提供底层设备的</w:t>
                  </w:r>
                  <w:r>
                    <w:rPr>
                      <w:color w:val="000000"/>
                      <w:sz w:val="24"/>
                    </w:rPr>
                    <w:t>API</w:t>
                  </w:r>
                  <w:r>
                    <w:rPr>
                      <w:color w:val="000000"/>
                      <w:sz w:val="24"/>
                    </w:rPr>
                    <w:t>接口调用，方便取票客户端前端页面能进行多种外设的操作及出票打印等功能。</w:t>
                  </w:r>
                </w:p>
              </w:tc>
            </w:tr>
            <w:tr>
              <w:tc>
                <w:tcPr>
                  <w:tcW w:type="dxa" w:w="1140"/>
                  <w:vMerge w:val="restart"/>
                  <w:tcBorders>
                    <w:top w:val="none" w:color="000000" w:sz="4"/>
                    <w:left w:val="single" w:color="000000" w:sz="4"/>
                    <w:bottom w:val="single" w:color="000000" w:sz="4"/>
                    <w:right w:val="single" w:color="000000" w:sz="4"/>
                  </w:tcBorders>
                  <w:vAlign w:val="top"/>
                </w:tcPr>
                <w:p>
                  <w:pPr>
                    <w:jc w:val="both"/>
                  </w:pPr>
                  <w:r>
                    <w:rPr>
                      <w:color w:val="000000"/>
                      <w:sz w:val="24"/>
                    </w:rPr>
                    <w:t>统一叫号信息推送模块</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集中屏叫号通知</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当前叫号号码、窗口号、业务名称、办理人员等实时消息推送到集中屏设备上，让等候群众可以实时看见是否轮到自己</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窗口屏叫号通知</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当前叫号号码、窗口号、业务名称、办理人员等实时消息推送到窗口屏设备上，让等候群众可以实时看见是否轮到自己</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微信公众号通知</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当前叫号号码、窗口号、业务名称、办理人员等实时消息推送到微信公众号上，实现无声叫号</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手机短信通知</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当前叫号号码、窗口号、业务名称、办理人员等实时消息推送到办理群众手机短信上，实现无声叫号</w:t>
                  </w:r>
                </w:p>
              </w:tc>
            </w:tr>
            <w:tr>
              <w:tc>
                <w:tcPr>
                  <w:tcW w:type="dxa" w:w="1140"/>
                  <w:vMerge w:val="restart"/>
                  <w:tcBorders>
                    <w:top w:val="none" w:color="000000" w:sz="4"/>
                    <w:left w:val="single" w:color="000000" w:sz="4"/>
                    <w:bottom w:val="single" w:color="000000" w:sz="4"/>
                    <w:right w:val="single" w:color="000000" w:sz="4"/>
                  </w:tcBorders>
                  <w:vAlign w:val="top"/>
                </w:tcPr>
                <w:p>
                  <w:pPr>
                    <w:jc w:val="both"/>
                  </w:pPr>
                  <w:r>
                    <w:rPr>
                      <w:color w:val="000000"/>
                      <w:sz w:val="24"/>
                    </w:rPr>
                    <w:t>排队后台管理系统</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后台主页</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可视化数据图表显示，包括多网点分布、大厅实时排队数据、当天统计数据、各业务区实时排队</w:t>
                  </w:r>
                  <w:r>
                    <w:rPr>
                      <w:color w:val="000000"/>
                      <w:sz w:val="24"/>
                    </w:rPr>
                    <w:t>/</w:t>
                  </w:r>
                  <w:r>
                    <w:rPr>
                      <w:color w:val="000000"/>
                      <w:sz w:val="24"/>
                    </w:rPr>
                    <w:t>等候柱形图、历史排队数据（当天、当月、当年、历年）曲线图、排队及评价数据分析对比图、饼图</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系统设置</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休假日设置、现场号总则、预约号总则、预约业务设置、黑白名单策略设置、背景设置、小票排版、窗口屏排版</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业务管理</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网点管理、业务管理、窗口管理</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数据管理</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当前业务查询、当前窗口查询、预约数据管理、窗口转移管理、现场号管理</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数据统计（查询、统计、导出）</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按网点分类统计、按时间分类统计、按业务分类统计、按窗口分类统计、按工作人员统计、按取号时段统计、按明细统计、按渠道统计、评价数据统计</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系统维护</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用户管理、角色管理、权限管理、日志管理、设备监控、信息发布</w:t>
                  </w:r>
                </w:p>
              </w:tc>
            </w:tr>
            <w:tr>
              <w:tc>
                <w:tcPr>
                  <w:tcW w:type="dxa" w:w="1140"/>
                  <w:vMerge w:val="restart"/>
                  <w:tcBorders>
                    <w:top w:val="none" w:color="000000" w:sz="4"/>
                    <w:left w:val="single" w:color="000000" w:sz="4"/>
                    <w:bottom w:val="single" w:color="000000" w:sz="4"/>
                    <w:right w:val="single" w:color="000000" w:sz="4"/>
                  </w:tcBorders>
                  <w:vAlign w:val="top"/>
                </w:tcPr>
                <w:p>
                  <w:pPr>
                    <w:jc w:val="both"/>
                  </w:pPr>
                  <w:r>
                    <w:rPr>
                      <w:color w:val="000000"/>
                      <w:sz w:val="24"/>
                    </w:rPr>
                    <w:t>呼叫中心</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排队叫号逻辑（派号机制）</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MSSQL</w:t>
                  </w:r>
                  <w:r>
                    <w:rPr>
                      <w:color w:val="000000"/>
                      <w:sz w:val="24"/>
                    </w:rPr>
                    <w:t>存储过程、</w:t>
                  </w:r>
                  <w:r>
                    <w:rPr>
                      <w:color w:val="000000"/>
                      <w:sz w:val="24"/>
                    </w:rPr>
                    <w:t>JAVA</w:t>
                  </w:r>
                  <w:r>
                    <w:rPr>
                      <w:color w:val="000000"/>
                      <w:sz w:val="24"/>
                    </w:rPr>
                    <w:t>派号机制</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语音呼叫</w:t>
                  </w:r>
                  <w:r>
                    <w:rPr>
                      <w:color w:val="000000"/>
                      <w:sz w:val="24"/>
                    </w:rPr>
                    <w:t>+LED</w:t>
                  </w:r>
                  <w:r>
                    <w:rPr>
                      <w:color w:val="000000"/>
                      <w:sz w:val="24"/>
                    </w:rPr>
                    <w:t>屏幕控制</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C++</w:t>
                  </w:r>
                  <w:r>
                    <w:rPr>
                      <w:color w:val="000000"/>
                      <w:sz w:val="24"/>
                    </w:rPr>
                    <w:t>版本（功放喇叭通知、</w:t>
                  </w:r>
                  <w:r>
                    <w:rPr>
                      <w:color w:val="000000"/>
                      <w:sz w:val="24"/>
                    </w:rPr>
                    <w:t>LED</w:t>
                  </w:r>
                  <w:r>
                    <w:rPr>
                      <w:color w:val="000000"/>
                      <w:sz w:val="24"/>
                    </w:rPr>
                    <w:t>窗口屏显示（异步））、</w:t>
                  </w:r>
                  <w:r>
                    <w:rPr>
                      <w:color w:val="000000"/>
                      <w:sz w:val="24"/>
                    </w:rPr>
                    <w:t>Java</w:t>
                  </w:r>
                  <w:r>
                    <w:rPr>
                      <w:color w:val="000000"/>
                      <w:sz w:val="24"/>
                    </w:rPr>
                    <w:t>版本（微信公众号通知、手机短信通知、集中屏叫号通知、</w:t>
                  </w:r>
                  <w:r>
                    <w:rPr>
                      <w:color w:val="000000"/>
                      <w:sz w:val="24"/>
                    </w:rPr>
                    <w:t>LED</w:t>
                  </w:r>
                  <w:r>
                    <w:rPr>
                      <w:color w:val="000000"/>
                      <w:sz w:val="24"/>
                    </w:rPr>
                    <w:t>窗口屏显示（同步））</w:t>
                  </w:r>
                </w:p>
              </w:tc>
            </w:tr>
            <w:tr>
              <w:tc>
                <w:tcPr>
                  <w:tcW w:type="dxa" w:w="1140"/>
                  <w:vMerge w:val="restart"/>
                  <w:tcBorders>
                    <w:top w:val="none" w:color="000000" w:sz="4"/>
                    <w:left w:val="single" w:color="000000" w:sz="4"/>
                    <w:bottom w:val="single" w:color="000000" w:sz="4"/>
                    <w:right w:val="single" w:color="000000" w:sz="4"/>
                  </w:tcBorders>
                  <w:vAlign w:val="top"/>
                </w:tcPr>
                <w:p>
                  <w:pPr>
                    <w:jc w:val="both"/>
                  </w:pPr>
                  <w:r>
                    <w:rPr>
                      <w:color w:val="000000"/>
                      <w:sz w:val="24"/>
                    </w:rPr>
                    <w:t>系统服务</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基于</w:t>
                  </w:r>
                  <w:r>
                    <w:rPr>
                      <w:color w:val="000000"/>
                      <w:sz w:val="24"/>
                    </w:rPr>
                    <w:t>https</w:t>
                  </w:r>
                  <w:r>
                    <w:rPr>
                      <w:color w:val="000000"/>
                      <w:sz w:val="24"/>
                    </w:rPr>
                    <w:t>统一外部接口</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叫号</w:t>
                  </w:r>
                  <w:r>
                    <w:rPr>
                      <w:color w:val="000000"/>
                      <w:sz w:val="24"/>
                    </w:rPr>
                    <w:t>API</w:t>
                  </w:r>
                  <w:r>
                    <w:rPr>
                      <w:color w:val="000000"/>
                      <w:sz w:val="24"/>
                    </w:rPr>
                    <w:t>接口、预约</w:t>
                  </w:r>
                  <w:r>
                    <w:rPr>
                      <w:color w:val="000000"/>
                      <w:sz w:val="24"/>
                    </w:rPr>
                    <w:t>API</w:t>
                  </w:r>
                  <w:r>
                    <w:rPr>
                      <w:color w:val="000000"/>
                      <w:sz w:val="24"/>
                    </w:rPr>
                    <w:t>接口、取号</w:t>
                  </w:r>
                  <w:r>
                    <w:rPr>
                      <w:color w:val="000000"/>
                      <w:sz w:val="24"/>
                    </w:rPr>
                    <w:t>API</w:t>
                  </w:r>
                  <w:r>
                    <w:rPr>
                      <w:color w:val="000000"/>
                      <w:sz w:val="24"/>
                    </w:rPr>
                    <w:t>接口、评价</w:t>
                  </w:r>
                  <w:r>
                    <w:rPr>
                      <w:color w:val="000000"/>
                      <w:sz w:val="24"/>
                    </w:rPr>
                    <w:t>API</w:t>
                  </w:r>
                  <w:r>
                    <w:rPr>
                      <w:color w:val="000000"/>
                      <w:sz w:val="24"/>
                    </w:rPr>
                    <w:t>接口、短信</w:t>
                  </w:r>
                  <w:r>
                    <w:rPr>
                      <w:color w:val="000000"/>
                      <w:sz w:val="24"/>
                    </w:rPr>
                    <w:t>API</w:t>
                  </w:r>
                  <w:r>
                    <w:rPr>
                      <w:color w:val="000000"/>
                      <w:sz w:val="24"/>
                    </w:rPr>
                    <w:t>接口</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websocket</w:t>
                  </w:r>
                  <w:r>
                    <w:rPr>
                      <w:color w:val="000000"/>
                      <w:sz w:val="24"/>
                    </w:rPr>
                    <w:t>内部接口</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集中屏实时通知接口、窗口屏实时通知接口、信息发布通知接口</w:t>
                  </w:r>
                </w:p>
              </w:tc>
            </w:tr>
            <w:tr>
              <w:tc>
                <w:tcPr>
                  <w:tcW w:type="dxa" w:w="1140"/>
                  <w:vMerge w:val="restart"/>
                  <w:tcBorders>
                    <w:top w:val="none" w:color="000000" w:sz="4"/>
                    <w:left w:val="single" w:color="000000" w:sz="4"/>
                    <w:bottom w:val="single" w:color="000000" w:sz="4"/>
                    <w:right w:val="single" w:color="000000" w:sz="4"/>
                  </w:tcBorders>
                  <w:vAlign w:val="top"/>
                </w:tcPr>
                <w:p>
                  <w:pPr>
                    <w:jc w:val="both"/>
                  </w:pPr>
                  <w:r>
                    <w:rPr>
                      <w:color w:val="000000"/>
                      <w:sz w:val="24"/>
                    </w:rPr>
                    <w:t>数据库</w:t>
                  </w:r>
                </w:p>
              </w:tc>
              <w:tc>
                <w:tcPr>
                  <w:tcW w:type="dxa" w:w="1425"/>
                  <w:tcBorders>
                    <w:top w:val="none" w:color="000000" w:sz="4"/>
                    <w:left w:val="none" w:color="000000" w:sz="4"/>
                    <w:bottom w:val="single" w:color="000000" w:sz="4"/>
                    <w:right w:val="single" w:color="000000" w:sz="4"/>
                  </w:tcBorders>
                  <w:vAlign w:val="top"/>
                </w:tcPr>
                <w:p>
                  <w:pPr>
                    <w:jc w:val="both"/>
                  </w:pPr>
                  <w:r>
                    <w:rPr>
                      <w:color w:val="000000"/>
                      <w:sz w:val="24"/>
                    </w:rPr>
                    <w:t>Linux MYSQL/</w:t>
                  </w:r>
                  <w:r>
                    <w:rPr>
                      <w:color w:val="000000"/>
                      <w:sz w:val="24"/>
                    </w:rPr>
                    <w:t>国产数据库</w:t>
                  </w:r>
                  <w:r>
                    <w:rPr>
                      <w:sz w:val="21"/>
                    </w:rPr>
                    <w:t xml:space="preserve"> </w:t>
                  </w:r>
                </w:p>
              </w:tc>
              <w:tc>
                <w:tcPr>
                  <w:tcW w:type="dxa" w:w="3015"/>
                  <w:tcBorders>
                    <w:top w:val="none" w:color="000000" w:sz="4"/>
                    <w:left w:val="none" w:color="000000" w:sz="4"/>
                    <w:bottom w:val="single" w:color="000000" w:sz="4"/>
                    <w:right w:val="single" w:color="000000" w:sz="4"/>
                  </w:tcBorders>
                  <w:vAlign w:val="top"/>
                </w:tcPr>
                <w:p>
                  <w:pPr>
                    <w:jc w:val="both"/>
                  </w:pPr>
                  <w:r>
                    <w:rPr>
                      <w:color w:val="000000"/>
                      <w:sz w:val="24"/>
                    </w:rPr>
                    <w:t>提供基于</w:t>
                  </w:r>
                  <w:r>
                    <w:rPr>
                      <w:color w:val="000000"/>
                      <w:sz w:val="24"/>
                    </w:rPr>
                    <w:t>Linux MYSQL</w:t>
                  </w:r>
                  <w:r>
                    <w:rPr>
                      <w:color w:val="000000"/>
                      <w:sz w:val="24"/>
                    </w:rPr>
                    <w:t>或者国产数据库</w:t>
                  </w:r>
                </w:p>
              </w:tc>
            </w:tr>
            <w:tr>
              <w:tc>
                <w:tcPr>
                  <w:tcW w:type="dxa" w:w="1140"/>
                  <w:vMerge/>
                  <w:tcBorders>
                    <w:top w:val="none" w:color="000000" w:sz="4"/>
                    <w:left w:val="single" w:color="000000" w:sz="4"/>
                    <w:bottom w:val="single" w:color="000000" w:sz="4"/>
                    <w:right w:val="single" w:color="000000" w:sz="4"/>
                  </w:tcBorders>
                </w:tcPr>
                <w:p/>
              </w:tc>
              <w:tc>
                <w:tcPr>
                  <w:tcW w:type="dxa" w:w="1425"/>
                  <w:tcBorders>
                    <w:top w:val="none" w:color="000000" w:sz="4"/>
                    <w:left w:val="none" w:color="000000" w:sz="4"/>
                    <w:bottom w:val="single" w:color="000000" w:sz="4"/>
                    <w:right w:val="single" w:color="000000" w:sz="4"/>
                  </w:tcBorders>
                  <w:vAlign w:val="top"/>
                </w:tcPr>
                <w:p>
                  <w:pPr>
                    <w:jc w:val="both"/>
                  </w:pPr>
                  <w:r>
                    <w:rPr>
                      <w:sz w:val="24"/>
                    </w:rPr>
                    <w:t>Windows MSSQL</w:t>
                  </w:r>
                  <w:r>
                    <w:rPr>
                      <w:sz w:val="24"/>
                    </w:rPr>
                    <w:t>版本</w:t>
                  </w:r>
                </w:p>
              </w:tc>
              <w:tc>
                <w:tcPr>
                  <w:tcW w:type="dxa" w:w="3015"/>
                  <w:tcBorders>
                    <w:top w:val="none" w:color="000000" w:sz="4"/>
                    <w:left w:val="none" w:color="000000" w:sz="4"/>
                    <w:bottom w:val="single" w:color="000000" w:sz="4"/>
                    <w:right w:val="single" w:color="000000" w:sz="4"/>
                  </w:tcBorders>
                  <w:vAlign w:val="top"/>
                </w:tcPr>
                <w:p>
                  <w:pPr>
                    <w:jc w:val="both"/>
                  </w:pPr>
                  <w:r>
                    <w:rPr>
                      <w:sz w:val="24"/>
                    </w:rPr>
                    <w:t>提供基于</w:t>
                  </w:r>
                  <w:r>
                    <w:rPr>
                      <w:sz w:val="24"/>
                    </w:rPr>
                    <w:t>Windows MSSQL</w:t>
                  </w:r>
                  <w:r>
                    <w:rPr>
                      <w:sz w:val="24"/>
                    </w:rPr>
                    <w:t>数据库版本</w:t>
                  </w:r>
                </w:p>
              </w:tc>
            </w:tr>
          </w:tbl>
        </w:tc>
      </w:tr>
      <w:tr>
        <w:tc>
          <w:tcPr>
            <w:tcW w:type="dxa" w:w="2076"/>
          </w:tcPr>
          <w:p/>
        </w:tc>
        <w:tc>
          <w:tcPr>
            <w:tcW w:type="dxa" w:w="415"/>
          </w:tcPr>
          <w:p>
            <w:r>
              <w:rPr/>
              <w:t>7</w:t>
            </w:r>
          </w:p>
        </w:tc>
        <w:tc>
          <w:tcPr>
            <w:tcW w:type="dxa" w:w="5814"/>
          </w:tcPr>
          <w:p>
            <w:pPr>
              <w:jc w:val="both"/>
            </w:pPr>
            <w:r>
              <w:rPr>
                <w:color w:val="000000"/>
                <w:sz w:val="24"/>
              </w:rPr>
              <w:t>七、</w:t>
            </w:r>
            <w:r>
              <w:rPr>
                <w:color w:val="000000"/>
                <w:sz w:val="24"/>
              </w:rPr>
              <w:t>业务功能原型设计</w:t>
            </w:r>
          </w:p>
          <w:p>
            <w:pPr>
              <w:jc w:val="both"/>
            </w:pPr>
          </w:p>
          <w:p>
            <w:pPr>
              <w:jc w:val="both"/>
            </w:pPr>
            <w:r>
              <w:rPr>
                <w:color w:val="000000"/>
                <w:sz w:val="24"/>
              </w:rPr>
              <w:t>七</w:t>
            </w:r>
            <w:r>
              <w:rPr>
                <w:color w:val="000000"/>
                <w:sz w:val="24"/>
              </w:rPr>
              <w:t>、系统对接服务内容</w:t>
            </w:r>
          </w:p>
          <w:p>
            <w:pPr>
              <w:jc w:val="both"/>
            </w:pPr>
            <w:r>
              <w:rPr>
                <w:color w:val="000000"/>
                <w:sz w:val="24"/>
              </w:rPr>
              <w:t>7</w:t>
            </w:r>
            <w:r>
              <w:rPr>
                <w:color w:val="000000"/>
                <w:sz w:val="24"/>
              </w:rPr>
              <w:t xml:space="preserve">.1  </w:t>
            </w:r>
            <w:r>
              <w:rPr>
                <w:color w:val="000000"/>
                <w:sz w:val="24"/>
              </w:rPr>
              <w:t>总体框架标准</w:t>
            </w:r>
          </w:p>
          <w:p>
            <w:pPr>
              <w:ind w:firstLine="480"/>
              <w:jc w:val="both"/>
            </w:pPr>
            <w:r>
              <w:rPr>
                <w:color w:val="000000"/>
                <w:sz w:val="24"/>
              </w:rPr>
              <w:t>因系统数据交互时效性非常高，按照市大集中的业务模式，本次实施的四个县（市、区）服务中心及试点镇中心均基于市政务云统一部署</w:t>
            </w:r>
            <w:r>
              <w:rPr>
                <w:color w:val="000000"/>
                <w:sz w:val="24"/>
              </w:rPr>
              <w:t>B/S</w:t>
            </w:r>
            <w:r>
              <w:rPr>
                <w:color w:val="000000"/>
                <w:sz w:val="24"/>
              </w:rPr>
              <w:t>架构的叫取号系统，与云浮市一体化公共服务平台实现实时数据交互：</w:t>
            </w:r>
          </w:p>
          <w:p>
            <w:pPr>
              <w:jc w:val="both"/>
            </w:pPr>
            <w:r>
              <w:rPr>
                <w:color w:val="000000"/>
                <w:sz w:val="24"/>
              </w:rPr>
              <w:t>7</w:t>
            </w:r>
            <w:r>
              <w:rPr>
                <w:color w:val="000000"/>
                <w:sz w:val="24"/>
              </w:rPr>
              <w:t xml:space="preserve">.1.1  </w:t>
            </w:r>
            <w:r>
              <w:rPr>
                <w:color w:val="000000"/>
                <w:sz w:val="24"/>
              </w:rPr>
              <w:t>在市政务中心设置统一服务端，云浮市一体化公共服务平台、统一预约、统一叫取号以及硬件设备数据，均在此一个服务端进行交互（含数据推送和拉取）；</w:t>
            </w:r>
          </w:p>
          <w:p>
            <w:pPr>
              <w:jc w:val="both"/>
            </w:pPr>
            <w:r>
              <w:rPr>
                <w:color w:val="000000"/>
                <w:sz w:val="24"/>
              </w:rPr>
              <w:t>7</w:t>
            </w:r>
            <w:r>
              <w:rPr>
                <w:color w:val="000000"/>
                <w:sz w:val="24"/>
              </w:rPr>
              <w:t xml:space="preserve">.1.2  </w:t>
            </w:r>
            <w:r>
              <w:rPr>
                <w:color w:val="000000"/>
                <w:sz w:val="24"/>
              </w:rPr>
              <w:t>除市级各服务中心及云城区外，云安、罗定、新兴、郁南各行政服务中心的所有叫取号设备的数据，均在市服务端汇聚（应用系统采购人及硬件设备供应商均需按此标准提供实时数据）；</w:t>
            </w:r>
          </w:p>
          <w:p>
            <w:pPr>
              <w:jc w:val="both"/>
            </w:pPr>
            <w:r>
              <w:rPr>
                <w:color w:val="000000"/>
                <w:sz w:val="24"/>
              </w:rPr>
              <w:t>7</w:t>
            </w:r>
            <w:r>
              <w:rPr>
                <w:color w:val="000000"/>
                <w:sz w:val="24"/>
              </w:rPr>
              <w:t xml:space="preserve">.1.3  </w:t>
            </w:r>
            <w:r>
              <w:rPr>
                <w:color w:val="000000"/>
                <w:sz w:val="24"/>
              </w:rPr>
              <w:t>统一预约叫取号系统与硬件设备对接交互，采用实时对接模式，双方数据均需实时汇聚到市级统一的服务端。</w:t>
            </w:r>
          </w:p>
          <w:p>
            <w:pPr>
              <w:jc w:val="both"/>
            </w:pPr>
          </w:p>
        </w:tc>
      </w:tr>
      <w:tr>
        <w:tc>
          <w:tcPr>
            <w:tcW w:type="dxa" w:w="2076"/>
          </w:tcPr>
          <w:p/>
        </w:tc>
        <w:tc>
          <w:tcPr>
            <w:tcW w:type="dxa" w:w="415"/>
          </w:tcPr>
          <w:p>
            <w:r>
              <w:rPr/>
              <w:t>8</w:t>
            </w:r>
          </w:p>
        </w:tc>
        <w:tc>
          <w:tcPr>
            <w:tcW w:type="dxa" w:w="5814"/>
          </w:tcPr>
          <w:p>
            <w:pPr>
              <w:jc w:val="both"/>
            </w:pPr>
            <w:r>
              <w:rPr>
                <w:color w:val="000000"/>
                <w:sz w:val="24"/>
              </w:rPr>
              <w:t>八、</w:t>
            </w:r>
            <w:r>
              <w:rPr>
                <w:color w:val="000000"/>
                <w:sz w:val="24"/>
              </w:rPr>
              <w:t>系统对接服务内容</w:t>
            </w:r>
          </w:p>
          <w:p>
            <w:pPr>
              <w:jc w:val="both"/>
            </w:pPr>
            <w:r>
              <w:rPr>
                <w:color w:val="000000"/>
                <w:sz w:val="24"/>
              </w:rPr>
              <w:t>8.1  总体框架标准</w:t>
            </w:r>
          </w:p>
          <w:p>
            <w:pPr>
              <w:ind w:firstLine="480"/>
              <w:jc w:val="both"/>
            </w:pPr>
            <w:r>
              <w:rPr>
                <w:color w:val="000000"/>
                <w:sz w:val="24"/>
              </w:rPr>
              <w:t>因系统数据交互时效性非常高，按照市大集中的业务模式，本次实施的四个县（市、区）服务中心及试点镇中心均基于市政务云统一部署</w:t>
            </w:r>
            <w:r>
              <w:rPr>
                <w:color w:val="000000"/>
                <w:sz w:val="24"/>
              </w:rPr>
              <w:t>B/S架构的叫取号系统，与云浮市一体化公共服务平台实现实时数据交互：</w:t>
            </w:r>
          </w:p>
          <w:p>
            <w:pPr>
              <w:jc w:val="both"/>
            </w:pPr>
            <w:r>
              <w:rPr>
                <w:color w:val="000000"/>
                <w:sz w:val="24"/>
              </w:rPr>
              <w:t>8.1.1  在市政务中心设置统一服务端，云浮市一体化公共服务平台、统一预约、统一叫取号以及硬件设备数据，均在此一个服务端进行交互（含数据推送和拉取）；</w:t>
            </w:r>
          </w:p>
          <w:p>
            <w:pPr>
              <w:jc w:val="both"/>
            </w:pPr>
            <w:r>
              <w:rPr>
                <w:color w:val="000000"/>
                <w:sz w:val="24"/>
              </w:rPr>
              <w:t>8.1.2  除市级各服务中心及云城区外，云安、罗定、新兴、郁南各行政服务中心的所有叫取号设备的数据，均在市服务端汇聚（应用系统采购人及硬件设备供应商均需按此标准提供实时数据）；</w:t>
            </w:r>
          </w:p>
          <w:p>
            <w:pPr>
              <w:jc w:val="both"/>
            </w:pPr>
            <w:r>
              <w:rPr>
                <w:color w:val="000000"/>
                <w:sz w:val="24"/>
              </w:rPr>
              <w:t>8.1.3  统一预约叫取号系统与硬件设备对接交互，采用实时对接模式，双方数据均需实时汇聚到市级统一的服务端。</w:t>
            </w:r>
          </w:p>
        </w:tc>
      </w:tr>
      <w:tr>
        <w:tc>
          <w:tcPr>
            <w:tcW w:type="dxa" w:w="2076"/>
          </w:tcPr>
          <w:p/>
        </w:tc>
        <w:tc>
          <w:tcPr>
            <w:tcW w:type="dxa" w:w="415"/>
          </w:tcPr>
          <w:p>
            <w:r>
              <w:rPr/>
              <w:t>9</w:t>
            </w:r>
          </w:p>
        </w:tc>
        <w:tc>
          <w:tcPr>
            <w:tcW w:type="dxa" w:w="5814"/>
          </w:tcPr>
          <w:p>
            <w:pPr>
              <w:jc w:val="both"/>
            </w:pPr>
            <w:r>
              <w:rPr>
                <w:color w:val="000000"/>
                <w:sz w:val="24"/>
              </w:rPr>
              <w:t>九、</w:t>
            </w:r>
            <w:r>
              <w:rPr>
                <w:color w:val="000000"/>
                <w:sz w:val="24"/>
              </w:rPr>
              <w:t>对接内容</w:t>
            </w:r>
          </w:p>
          <w:p>
            <w:pPr>
              <w:jc w:val="both"/>
            </w:pPr>
            <w:r>
              <w:rPr>
                <w:color w:val="000000"/>
                <w:sz w:val="24"/>
              </w:rPr>
              <w:t>9.1  与市统一预约系统对接</w:t>
            </w:r>
          </w:p>
          <w:p>
            <w:pPr>
              <w:ind w:firstLine="480"/>
              <w:jc w:val="both"/>
            </w:pPr>
            <w:r>
              <w:rPr>
                <w:color w:val="000000"/>
                <w:sz w:val="24"/>
              </w:rPr>
              <w:t>群众办事可通过网上预约，网上预约时，可以选择市、县（区）、镇（街）、村（社区）设置的部门、业务类型、事项进行预约，预约后可现场取号。</w:t>
            </w:r>
          </w:p>
          <w:p>
            <w:pPr>
              <w:jc w:val="both"/>
            </w:pPr>
            <w:r>
              <w:rPr>
                <w:color w:val="000000"/>
                <w:sz w:val="24"/>
              </w:rPr>
              <w:t>9.2 取号服务</w:t>
            </w:r>
          </w:p>
          <w:p>
            <w:pPr>
              <w:ind w:firstLine="480"/>
              <w:jc w:val="both"/>
            </w:pPr>
            <w:r>
              <w:rPr>
                <w:color w:val="000000"/>
                <w:sz w:val="24"/>
              </w:rPr>
              <w:t>取号设备需要支持预约号码取号、公众号预约取号和现场取号，同时需要将各个中心业务取号数据实时归集至云浮市一体化公共服务平台。</w:t>
            </w:r>
          </w:p>
          <w:p>
            <w:pPr>
              <w:jc w:val="both"/>
            </w:pPr>
            <w:r>
              <w:rPr>
                <w:color w:val="000000"/>
                <w:sz w:val="24"/>
              </w:rPr>
              <w:t>9.3 叫号融合</w:t>
            </w:r>
          </w:p>
          <w:p>
            <w:pPr>
              <w:ind w:firstLine="480"/>
              <w:jc w:val="both"/>
            </w:pPr>
            <w:r>
              <w:rPr>
                <w:color w:val="000000"/>
                <w:sz w:val="24"/>
              </w:rPr>
              <w:t>窗口工作人员通过云浮市一体化公共服务平台进行叫号。在云浮市一体化公共服务平台微信公众号端提供叫号消息提醒服务，同时需要将叫号数据实时归集至云浮市一体化公共服务平台。</w:t>
            </w:r>
          </w:p>
          <w:p>
            <w:pPr>
              <w:jc w:val="both"/>
            </w:pPr>
            <w:r>
              <w:rPr>
                <w:color w:val="000000"/>
                <w:sz w:val="24"/>
              </w:rPr>
              <w:t>9.4 评价服务对接</w:t>
            </w:r>
          </w:p>
          <w:p>
            <w:pPr>
              <w:ind w:firstLine="480"/>
              <w:jc w:val="both"/>
            </w:pPr>
            <w:r>
              <w:rPr>
                <w:color w:val="000000"/>
                <w:sz w:val="24"/>
              </w:rPr>
              <w:t>评价器支持办事窗口基本信息展示，包括（人员姓名、窗口信息等），在业务办理中，在业务办理完成后，支持在线评价或手写输入等。</w:t>
            </w:r>
          </w:p>
          <w:p>
            <w:pPr>
              <w:jc w:val="both"/>
            </w:pPr>
            <w:r>
              <w:rPr>
                <w:color w:val="000000"/>
                <w:sz w:val="24"/>
              </w:rPr>
              <w:t>9.5 好差评数据上报</w:t>
            </w:r>
          </w:p>
          <w:p>
            <w:pPr>
              <w:ind w:firstLine="480"/>
              <w:jc w:val="both"/>
            </w:pPr>
            <w:r>
              <w:rPr>
                <w:color w:val="000000"/>
                <w:sz w:val="24"/>
              </w:rPr>
              <w:t>本次将实现评价数据采集，提供评价页面调用接口，并按</w:t>
            </w:r>
            <w:r>
              <w:rPr>
                <w:color w:val="000000"/>
                <w:sz w:val="24"/>
              </w:rPr>
              <w:t>“好差评”平台要求反馈评价数据。评价页面和数据严格按《全国一体化在线政务服务平台“好差评”系统技术方案》要求进行开发。</w:t>
            </w:r>
          </w:p>
          <w:p>
            <w:pPr>
              <w:jc w:val="both"/>
            </w:pPr>
            <w:r>
              <w:rPr>
                <w:color w:val="000000"/>
                <w:sz w:val="24"/>
              </w:rPr>
              <w:t>注：最终由供应商提供对接开发服务，采购人负责协调申请对应接口信息，以保障对接工作。</w:t>
            </w:r>
          </w:p>
        </w:tc>
      </w:tr>
      <w:tr>
        <w:tc>
          <w:tcPr>
            <w:tcW w:type="dxa" w:w="2076"/>
          </w:tcPr>
          <w:p/>
        </w:tc>
        <w:tc>
          <w:tcPr>
            <w:tcW w:type="dxa" w:w="415"/>
          </w:tcPr>
          <w:p>
            <w:r>
              <w:rPr/>
              <w:t>10</w:t>
            </w:r>
          </w:p>
        </w:tc>
        <w:tc>
          <w:tcPr>
            <w:tcW w:type="dxa" w:w="5814"/>
          </w:tcPr>
          <w:p>
            <w:pPr>
              <w:jc w:val="both"/>
            </w:pPr>
            <w:r>
              <w:rPr>
                <w:color w:val="000000"/>
                <w:sz w:val="24"/>
              </w:rPr>
              <w:t>十、</w:t>
            </w:r>
            <w:r>
              <w:rPr>
                <w:color w:val="000000"/>
                <w:sz w:val="24"/>
              </w:rPr>
              <w:t>云浮市一体化公共服务平台对接要求</w:t>
            </w:r>
          </w:p>
          <w:tbl>
            <w:tblPr>
              <w:tblInd w:type="dxa" w:w="120"/>
              <w:tblBorders>
                <w:top w:val="none" w:color="000000" w:sz="4"/>
                <w:left w:val="none" w:color="000000" w:sz="4"/>
                <w:bottom w:val="none" w:color="000000" w:sz="4"/>
                <w:right w:val="none" w:color="000000" w:sz="4"/>
                <w:insideH w:val="none"/>
                <w:insideV w:val="none"/>
              </w:tblBorders>
            </w:tblPr>
            <w:tblGrid>
              <w:gridCol w:w="870"/>
              <w:gridCol w:w="1155"/>
              <w:gridCol w:w="1380"/>
              <w:gridCol w:w="1665"/>
              <w:gridCol w:w="495"/>
            </w:tblGrid>
            <w:tr>
              <w:tc>
                <w:tcPr>
                  <w:tcW w:type="dxa" w:w="2025"/>
                  <w:gridSpan w:val="2"/>
                  <w:tcBorders>
                    <w:top w:val="single" w:color="000000" w:sz="4"/>
                    <w:left w:val="single" w:color="000000" w:sz="4"/>
                    <w:bottom w:val="single" w:color="000000" w:sz="4"/>
                    <w:right w:val="single" w:color="000000" w:sz="4"/>
                  </w:tcBorders>
                  <w:vAlign w:val="top"/>
                </w:tcPr>
                <w:p>
                  <w:pPr>
                    <w:jc w:val="both"/>
                  </w:pPr>
                  <w:r>
                    <w:rPr>
                      <w:color w:val="000000"/>
                      <w:sz w:val="24"/>
                    </w:rPr>
                    <w:t>市、县两级统一应用场景说明</w:t>
                  </w:r>
                </w:p>
              </w:tc>
              <w:tc>
                <w:tcPr>
                  <w:tcW w:type="dxa" w:w="1380"/>
                  <w:tcBorders>
                    <w:top w:val="single" w:color="000000" w:sz="4"/>
                    <w:left w:val="none" w:color="000000" w:sz="4"/>
                    <w:bottom w:val="single" w:color="000000" w:sz="4"/>
                    <w:right w:val="single" w:color="000000" w:sz="4"/>
                  </w:tcBorders>
                  <w:vAlign w:val="top"/>
                </w:tcPr>
                <w:p>
                  <w:pPr>
                    <w:jc w:val="both"/>
                  </w:pPr>
                  <w:r>
                    <w:rPr>
                      <w:color w:val="000000"/>
                      <w:sz w:val="24"/>
                    </w:rPr>
                    <w:t>业务对接要求</w:t>
                  </w:r>
                </w:p>
              </w:tc>
              <w:tc>
                <w:tcPr>
                  <w:tcW w:type="dxa" w:w="1665"/>
                  <w:tcBorders>
                    <w:top w:val="single" w:color="000000" w:sz="4"/>
                    <w:left w:val="none" w:color="000000" w:sz="4"/>
                    <w:bottom w:val="single" w:color="000000" w:sz="4"/>
                    <w:right w:val="single" w:color="000000" w:sz="4"/>
                  </w:tcBorders>
                  <w:vAlign w:val="top"/>
                </w:tcPr>
                <w:p>
                  <w:pPr>
                    <w:jc w:val="both"/>
                  </w:pPr>
                  <w:r>
                    <w:rPr>
                      <w:color w:val="000000"/>
                      <w:sz w:val="24"/>
                    </w:rPr>
                    <w:t>云浮市一体化公共服务平台</w:t>
                  </w:r>
                </w:p>
              </w:tc>
              <w:tc>
                <w:tcPr>
                  <w:tcW w:type="dxa" w:w="495"/>
                  <w:tcBorders>
                    <w:top w:val="single" w:color="000000" w:sz="4"/>
                    <w:left w:val="none" w:color="000000" w:sz="4"/>
                    <w:bottom w:val="single" w:color="000000" w:sz="4"/>
                    <w:right w:val="single" w:color="000000" w:sz="4"/>
                  </w:tcBorders>
                  <w:vAlign w:val="top"/>
                </w:tcPr>
                <w:p>
                  <w:pPr>
                    <w:jc w:val="both"/>
                  </w:pPr>
                  <w:r>
                    <w:rPr>
                      <w:color w:val="000000"/>
                      <w:sz w:val="24"/>
                    </w:rPr>
                    <w:t>时效性</w:t>
                  </w:r>
                </w:p>
              </w:tc>
            </w:tr>
            <w:tr>
              <w:tc>
                <w:tcPr>
                  <w:tcW w:type="dxa" w:w="870"/>
                  <w:tcBorders>
                    <w:top w:val="none" w:color="000000" w:sz="4"/>
                    <w:left w:val="single" w:color="000000" w:sz="4"/>
                    <w:bottom w:val="single" w:color="000000" w:sz="4"/>
                    <w:right w:val="single" w:color="000000" w:sz="4"/>
                  </w:tcBorders>
                  <w:vAlign w:val="top"/>
                </w:tcPr>
                <w:p>
                  <w:pPr>
                    <w:jc w:val="both"/>
                  </w:pPr>
                  <w:r>
                    <w:rPr>
                      <w:color w:val="000000"/>
                      <w:sz w:val="24"/>
                    </w:rPr>
                    <w:t>大厅基础数据统一维护管理</w:t>
                  </w:r>
                </w:p>
              </w:tc>
              <w:tc>
                <w:tcPr>
                  <w:tcW w:type="dxa" w:w="1155"/>
                  <w:tcBorders>
                    <w:top w:val="none" w:color="000000" w:sz="4"/>
                    <w:left w:val="none" w:color="000000" w:sz="4"/>
                    <w:bottom w:val="single" w:color="000000" w:sz="4"/>
                    <w:right w:val="single" w:color="000000" w:sz="4"/>
                  </w:tcBorders>
                  <w:vAlign w:val="top"/>
                </w:tcPr>
                <w:p>
                  <w:pPr>
                    <w:jc w:val="both"/>
                  </w:pPr>
                  <w:r>
                    <w:rPr>
                      <w:color w:val="000000"/>
                      <w:sz w:val="24"/>
                    </w:rPr>
                    <w:t>将四个县区中心大厅涉及到部门、窗口、业务类型基础数据统一管理，支撑预约、叫取号、业务评价功能。</w:t>
                  </w: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、统一将中心窗口、部门、业务类型基础数据在云浮市一体化公共服务梳理维护，云浮市一体化公共服务平台提供数据标准，并对叫取号系统提供数据接口；</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、对四个实体大厅中心业务划分统一梳理。</w:t>
                  </w:r>
                  <w:r>
                    <w:br/>
                  </w:r>
                  <w:r>
                    <w:rPr>
                      <w:color w:val="000000"/>
                      <w:sz w:val="24"/>
                    </w:rPr>
                    <w:t>2</w:t>
                  </w:r>
                  <w:r>
                    <w:rPr>
                      <w:color w:val="000000"/>
                      <w:sz w:val="24"/>
                    </w:rPr>
                    <w:t>、提供数据标准，开发系统接口，将数据推送至服务端，由叫取号系统下拉数据。</w:t>
                  </w:r>
                  <w:r>
                    <w:br/>
                  </w:r>
                  <w:r>
                    <w:rPr>
                      <w:color w:val="000000"/>
                      <w:sz w:val="24"/>
                    </w:rPr>
                    <w:t>3</w:t>
                  </w:r>
                  <w:r>
                    <w:rPr>
                      <w:color w:val="000000"/>
                      <w:sz w:val="24"/>
                    </w:rPr>
                    <w:t>、数据交互联调开发</w:t>
                  </w:r>
                </w:p>
              </w:tc>
              <w:tc>
                <w:tcPr>
                  <w:tcW w:type="dxa" w:w="495"/>
                  <w:tcBorders>
                    <w:top w:val="singl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val="restart"/>
                  <w:tcBorders>
                    <w:top w:val="none" w:color="000000" w:sz="4"/>
                    <w:left w:val="single" w:color="000000" w:sz="4"/>
                    <w:bottom w:val="single" w:color="000000" w:sz="4"/>
                    <w:right w:val="single" w:color="000000" w:sz="4"/>
                  </w:tcBorders>
                  <w:vAlign w:val="top"/>
                </w:tcPr>
                <w:p>
                  <w:pPr>
                    <w:jc w:val="both"/>
                  </w:pPr>
                  <w:r>
                    <w:rPr>
                      <w:color w:val="000000"/>
                      <w:sz w:val="24"/>
                    </w:rPr>
                    <w:t>与统一预约服务融合</w:t>
                  </w:r>
                </w:p>
              </w:tc>
              <w:tc>
                <w:tcPr>
                  <w:tcW w:type="dxa" w:w="1155"/>
                  <w:vMerge w:val="restart"/>
                  <w:tcBorders>
                    <w:top w:val="none" w:color="000000" w:sz="4"/>
                    <w:left w:val="none" w:color="000000" w:sz="4"/>
                    <w:bottom w:val="single" w:color="000000" w:sz="4"/>
                    <w:right w:val="single" w:color="000000" w:sz="4"/>
                  </w:tcBorders>
                  <w:vAlign w:val="top"/>
                </w:tcPr>
                <w:p>
                  <w:pPr>
                    <w:jc w:val="both"/>
                  </w:pPr>
                  <w:r>
                    <w:rPr>
                      <w:color w:val="000000"/>
                      <w:sz w:val="24"/>
                    </w:rPr>
                    <w:t>群众办事可通过网上预约，网上预约时，可以选择县、镇设置的部门、业务类型、事项进行预约，预约后可现场取号。</w:t>
                  </w: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、预约成功后，需要将预约信息同步至叫取号系统，支持现场预约取号；</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、提供预约信息数据标准</w:t>
                  </w:r>
                  <w:r>
                    <w:br/>
                  </w:r>
                  <w:r>
                    <w:rPr>
                      <w:color w:val="000000"/>
                      <w:sz w:val="24"/>
                    </w:rPr>
                    <w:t>2</w:t>
                  </w:r>
                  <w:r>
                    <w:rPr>
                      <w:color w:val="000000"/>
                      <w:sz w:val="24"/>
                    </w:rPr>
                    <w:t>、预约成功后，将办事人预约的业务信息、预约人信息同步服务端，取号系统实时下拉数据，纳入到取号队列，支持现场预约取号</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tcBorders>
                    <w:top w:val="none" w:color="000000" w:sz="4"/>
                    <w:left w:val="single" w:color="000000" w:sz="4"/>
                    <w:bottom w:val="single" w:color="000000" w:sz="4"/>
                    <w:right w:val="single" w:color="000000" w:sz="4"/>
                  </w:tcBorders>
                </w:tcPr>
                <w:p/>
              </w:tc>
              <w:tc>
                <w:tcPr>
                  <w:tcW w:type="dxa" w:w="1155"/>
                  <w:vMerge/>
                  <w:tcBorders>
                    <w:top w:val="none" w:color="000000" w:sz="4"/>
                    <w:left w:val="none" w:color="000000" w:sz="4"/>
                    <w:bottom w:val="single" w:color="000000" w:sz="4"/>
                    <w:right w:val="single" w:color="000000" w:sz="4"/>
                  </w:tcBorders>
                </w:tcP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2</w:t>
                  </w:r>
                  <w:r>
                    <w:rPr>
                      <w:color w:val="000000"/>
                      <w:sz w:val="24"/>
                    </w:rPr>
                    <w:t>、取消预约成功后，需要将取消预约信息同步至叫取号系统</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、提供取消预约信息数据标准</w:t>
                  </w:r>
                  <w:r>
                    <w:br/>
                  </w:r>
                  <w:r>
                    <w:rPr>
                      <w:color w:val="000000"/>
                      <w:sz w:val="24"/>
                    </w:rPr>
                    <w:t>2</w:t>
                  </w:r>
                  <w:r>
                    <w:rPr>
                      <w:color w:val="000000"/>
                      <w:sz w:val="24"/>
                    </w:rPr>
                    <w:t>、取消预约成功后，将已取消预约的预约信息同步至服务器端，叫取号系统请求下拉数据</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tcBorders>
                    <w:top w:val="none" w:color="000000" w:sz="4"/>
                    <w:left w:val="single" w:color="000000" w:sz="4"/>
                    <w:bottom w:val="single" w:color="000000" w:sz="4"/>
                    <w:right w:val="single" w:color="000000" w:sz="4"/>
                  </w:tcBorders>
                </w:tcPr>
                <w:p/>
              </w:tc>
              <w:tc>
                <w:tcPr>
                  <w:tcW w:type="dxa" w:w="1155"/>
                  <w:vMerge/>
                  <w:tcBorders>
                    <w:top w:val="none" w:color="000000" w:sz="4"/>
                    <w:left w:val="none" w:color="000000" w:sz="4"/>
                    <w:bottom w:val="single" w:color="000000" w:sz="4"/>
                    <w:right w:val="single" w:color="000000" w:sz="4"/>
                  </w:tcBorders>
                </w:tcP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3</w:t>
                  </w:r>
                  <w:r>
                    <w:rPr>
                      <w:color w:val="000000"/>
                      <w:sz w:val="24"/>
                    </w:rPr>
                    <w:t>、所有渠道预约号数据统计，同步至叫取号系统，调配当天放号数据</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、提供数据标准</w:t>
                  </w:r>
                  <w:r>
                    <w:br/>
                  </w:r>
                  <w:r>
                    <w:rPr>
                      <w:color w:val="000000"/>
                      <w:sz w:val="24"/>
                    </w:rPr>
                    <w:t>2</w:t>
                  </w:r>
                  <w:r>
                    <w:rPr>
                      <w:color w:val="000000"/>
                      <w:sz w:val="24"/>
                    </w:rPr>
                    <w:t>、将每天预约号总数据量同步至服务器端，叫取号系统实时拉取数据</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val="restart"/>
                  <w:tcBorders>
                    <w:top w:val="none" w:color="000000" w:sz="4"/>
                    <w:left w:val="single" w:color="000000" w:sz="4"/>
                    <w:bottom w:val="single" w:color="000000" w:sz="4"/>
                    <w:right w:val="single" w:color="000000" w:sz="4"/>
                  </w:tcBorders>
                  <w:vAlign w:val="top"/>
                </w:tcPr>
                <w:p>
                  <w:pPr>
                    <w:jc w:val="both"/>
                  </w:pPr>
                  <w:r>
                    <w:rPr>
                      <w:color w:val="000000"/>
                      <w:sz w:val="24"/>
                    </w:rPr>
                    <w:t>取号服务</w:t>
                  </w:r>
                </w:p>
              </w:tc>
              <w:tc>
                <w:tcPr>
                  <w:tcW w:type="dxa" w:w="1155"/>
                  <w:vMerge w:val="restart"/>
                  <w:tcBorders>
                    <w:top w:val="none" w:color="000000" w:sz="4"/>
                    <w:left w:val="none" w:color="000000" w:sz="4"/>
                    <w:bottom w:val="single" w:color="000000" w:sz="4"/>
                    <w:right w:val="single" w:color="000000" w:sz="4"/>
                  </w:tcBorders>
                  <w:vAlign w:val="top"/>
                </w:tcPr>
                <w:p>
                  <w:pPr>
                    <w:jc w:val="both"/>
                  </w:pPr>
                  <w:r>
                    <w:rPr>
                      <w:color w:val="000000"/>
                      <w:sz w:val="24"/>
                    </w:rPr>
                    <w:t>取号设备需要支持公众号小程序等在线取号，同时需要将各个中心业务取号数据实时归集至云浮市一体化公共服务平台。</w:t>
                  </w: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群众预约成功后或者在服务中心可在终端设备通过身份证取号、预约码取号。</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、提供取号业务数据标准</w:t>
                  </w:r>
                  <w:r>
                    <w:br/>
                  </w:r>
                  <w:r>
                    <w:rPr>
                      <w:color w:val="000000"/>
                      <w:sz w:val="24"/>
                    </w:rPr>
                    <w:t>2</w:t>
                  </w:r>
                  <w:r>
                    <w:rPr>
                      <w:color w:val="000000"/>
                      <w:sz w:val="24"/>
                    </w:rPr>
                    <w:t>、接收叫取号系统推送的取号信息后，写入云浮市一体化公共服务平台</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tcBorders>
                    <w:top w:val="none" w:color="000000" w:sz="4"/>
                    <w:left w:val="single" w:color="000000" w:sz="4"/>
                    <w:bottom w:val="single" w:color="000000" w:sz="4"/>
                    <w:right w:val="single" w:color="000000" w:sz="4"/>
                  </w:tcBorders>
                </w:tcPr>
                <w:p/>
              </w:tc>
              <w:tc>
                <w:tcPr>
                  <w:tcW w:type="dxa" w:w="1155"/>
                  <w:vMerge/>
                  <w:tcBorders>
                    <w:top w:val="none" w:color="000000" w:sz="4"/>
                    <w:left w:val="none" w:color="000000" w:sz="4"/>
                    <w:bottom w:val="single" w:color="000000" w:sz="4"/>
                    <w:right w:val="single" w:color="000000" w:sz="4"/>
                  </w:tcBorders>
                </w:tcP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公众号、小程序预约，现场可扫码取号</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、提供粤省事码解码接口标准</w:t>
                  </w:r>
                  <w:r>
                    <w:br/>
                  </w:r>
                  <w:r>
                    <w:rPr>
                      <w:color w:val="000000"/>
                      <w:sz w:val="24"/>
                    </w:rPr>
                    <w:t>2</w:t>
                  </w:r>
                  <w:r>
                    <w:rPr>
                      <w:color w:val="000000"/>
                      <w:sz w:val="24"/>
                    </w:rPr>
                    <w:t>、接收粤省事码信息，解码后返回扫码人信息给到叫取号系统</w:t>
                  </w:r>
                  <w:r>
                    <w:br/>
                  </w:r>
                  <w:r>
                    <w:rPr>
                      <w:color w:val="000000"/>
                      <w:sz w:val="24"/>
                    </w:rPr>
                    <w:t>3</w:t>
                  </w:r>
                  <w:r>
                    <w:rPr>
                      <w:color w:val="000000"/>
                      <w:sz w:val="24"/>
                    </w:rPr>
                    <w:t>、接收叫取号系统推送的取号信息后，写入云浮市一体化公共服务平台</w:t>
                  </w:r>
                  <w:r>
                    <w:br/>
                  </w:r>
                  <w:r>
                    <w:rPr>
                      <w:color w:val="000000"/>
                      <w:sz w:val="24"/>
                    </w:rPr>
                    <w:t>4</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val="restart"/>
                  <w:tcBorders>
                    <w:top w:val="none" w:color="000000" w:sz="4"/>
                    <w:left w:val="single" w:color="000000" w:sz="4"/>
                    <w:bottom w:val="single" w:color="000000" w:sz="4"/>
                    <w:right w:val="single" w:color="000000" w:sz="4"/>
                  </w:tcBorders>
                  <w:vAlign w:val="top"/>
                </w:tcPr>
                <w:p>
                  <w:pPr>
                    <w:jc w:val="both"/>
                  </w:pPr>
                  <w:r>
                    <w:rPr>
                      <w:color w:val="000000"/>
                      <w:sz w:val="24"/>
                    </w:rPr>
                    <w:t>叫号服务融合</w:t>
                  </w:r>
                </w:p>
              </w:tc>
              <w:tc>
                <w:tcPr>
                  <w:tcW w:type="dxa" w:w="1155"/>
                  <w:vMerge w:val="restart"/>
                  <w:tcBorders>
                    <w:top w:val="none" w:color="000000" w:sz="4"/>
                    <w:left w:val="none" w:color="000000" w:sz="4"/>
                    <w:bottom w:val="single" w:color="000000" w:sz="4"/>
                    <w:right w:val="single" w:color="000000" w:sz="4"/>
                  </w:tcBorders>
                  <w:vAlign w:val="top"/>
                </w:tcPr>
                <w:p>
                  <w:pPr>
                    <w:jc w:val="both"/>
                  </w:pPr>
                  <w:r>
                    <w:rPr>
                      <w:color w:val="000000"/>
                      <w:sz w:val="24"/>
                    </w:rPr>
                    <w:t>窗口工作人员通过云浮市一体化公共服务平台进行叫号。在云浮市一体化公共服务平台微信公众号端提供叫号消息提醒服务，同时需要将叫号数据实时归集至云浮市一体化公共服务平台</w:t>
                  </w: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将叫取号系统提供的软叫号页面内嵌到云浮市一体化公共服务平台，通过云浮市一体化公共服务平台进行叫号</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、提供获取软叫号页面标准</w:t>
                  </w:r>
                  <w:r>
                    <w:br/>
                  </w:r>
                  <w:r>
                    <w:rPr>
                      <w:color w:val="000000"/>
                      <w:sz w:val="24"/>
                    </w:rPr>
                    <w:t>2</w:t>
                  </w:r>
                  <w:r>
                    <w:rPr>
                      <w:color w:val="000000"/>
                      <w:sz w:val="24"/>
                    </w:rPr>
                    <w:t>、推送窗口及人员信息到叫取号系统</w:t>
                  </w:r>
                  <w:r>
                    <w:br/>
                  </w:r>
                  <w:r>
                    <w:rPr>
                      <w:color w:val="000000"/>
                      <w:sz w:val="24"/>
                    </w:rPr>
                    <w:t>3</w:t>
                  </w:r>
                  <w:r>
                    <w:rPr>
                      <w:color w:val="000000"/>
                      <w:sz w:val="24"/>
                    </w:rPr>
                    <w:t>、获取叫取号系统返回的软叫号页面</w:t>
                  </w:r>
                  <w:r>
                    <w:br/>
                  </w:r>
                  <w:r>
                    <w:rPr>
                      <w:color w:val="000000"/>
                      <w:sz w:val="24"/>
                    </w:rPr>
                    <w:t>4</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tcBorders>
                    <w:top w:val="none" w:color="000000" w:sz="4"/>
                    <w:left w:val="single" w:color="000000" w:sz="4"/>
                    <w:bottom w:val="single" w:color="000000" w:sz="4"/>
                    <w:right w:val="single" w:color="000000" w:sz="4"/>
                  </w:tcBorders>
                </w:tcPr>
                <w:p/>
              </w:tc>
              <w:tc>
                <w:tcPr>
                  <w:tcW w:type="dxa" w:w="1155"/>
                  <w:vMerge/>
                  <w:tcBorders>
                    <w:top w:val="none" w:color="000000" w:sz="4"/>
                    <w:left w:val="none" w:color="000000" w:sz="4"/>
                    <w:bottom w:val="single" w:color="000000" w:sz="4"/>
                    <w:right w:val="single" w:color="000000" w:sz="4"/>
                  </w:tcBorders>
                </w:tcP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将加号数据实时归集至云浮市一体化公共服务平台</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、提供叫号数据接口标准</w:t>
                  </w:r>
                  <w:r>
                    <w:br/>
                  </w:r>
                  <w:r>
                    <w:rPr>
                      <w:color w:val="000000"/>
                      <w:sz w:val="24"/>
                    </w:rPr>
                    <w:t>2</w:t>
                  </w:r>
                  <w:r>
                    <w:rPr>
                      <w:color w:val="000000"/>
                      <w:sz w:val="24"/>
                    </w:rPr>
                    <w:t>、推送窗口及人员信息到叫取号系统</w:t>
                  </w:r>
                  <w:r>
                    <w:br/>
                  </w:r>
                  <w:r>
                    <w:rPr>
                      <w:color w:val="000000"/>
                      <w:sz w:val="24"/>
                    </w:rPr>
                    <w:t>3</w:t>
                  </w:r>
                  <w:r>
                    <w:rPr>
                      <w:color w:val="000000"/>
                      <w:sz w:val="24"/>
                    </w:rPr>
                    <w:t>、获取叫取号系统返回的软叫号页面</w:t>
                  </w:r>
                  <w:r>
                    <w:br/>
                  </w:r>
                  <w:r>
                    <w:rPr>
                      <w:color w:val="000000"/>
                      <w:sz w:val="24"/>
                    </w:rPr>
                    <w:t>4</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tcBorders>
                    <w:top w:val="none" w:color="000000" w:sz="4"/>
                    <w:left w:val="single" w:color="000000" w:sz="4"/>
                    <w:bottom w:val="single" w:color="000000" w:sz="4"/>
                    <w:right w:val="single" w:color="000000" w:sz="4"/>
                  </w:tcBorders>
                </w:tcPr>
                <w:p/>
              </w:tc>
              <w:tc>
                <w:tcPr>
                  <w:tcW w:type="dxa" w:w="1155"/>
                  <w:vMerge/>
                  <w:tcBorders>
                    <w:top w:val="none" w:color="000000" w:sz="4"/>
                    <w:left w:val="none" w:color="000000" w:sz="4"/>
                    <w:bottom w:val="single" w:color="000000" w:sz="4"/>
                    <w:right w:val="single" w:color="000000" w:sz="4"/>
                  </w:tcBorders>
                </w:tcP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叫取号系统需将叫号提醒信息（叫号提醒、倒数</w:t>
                  </w:r>
                  <w:r>
                    <w:rPr>
                      <w:color w:val="000000"/>
                      <w:sz w:val="24"/>
                    </w:rPr>
                    <w:t>3</w:t>
                  </w:r>
                  <w:r>
                    <w:rPr>
                      <w:color w:val="000000"/>
                      <w:sz w:val="24"/>
                    </w:rPr>
                    <w:t>个号提醒、当前排队数量）实时推送至云浮市一体化公共服务平台，支持云浮市一体化公共服务平台微信端的消息提醒</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、提供取号信息数据标准</w:t>
                  </w:r>
                  <w:r>
                    <w:br/>
                  </w:r>
                  <w:r>
                    <w:rPr>
                      <w:color w:val="000000"/>
                      <w:sz w:val="24"/>
                    </w:rPr>
                    <w:t>2</w:t>
                  </w:r>
                  <w:r>
                    <w:rPr>
                      <w:color w:val="000000"/>
                      <w:sz w:val="24"/>
                    </w:rPr>
                    <w:t>、接收叫取号系统推送的叫号信息后，写入云浮市一体化公共服务平台</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val="restart"/>
                  <w:tcBorders>
                    <w:top w:val="none" w:color="000000" w:sz="4"/>
                    <w:left w:val="single" w:color="000000" w:sz="4"/>
                    <w:bottom w:val="single" w:color="000000" w:sz="4"/>
                    <w:right w:val="single" w:color="000000" w:sz="4"/>
                  </w:tcBorders>
                  <w:vAlign w:val="top"/>
                </w:tcPr>
                <w:p>
                  <w:pPr>
                    <w:jc w:val="both"/>
                  </w:pPr>
                  <w:r>
                    <w:rPr>
                      <w:color w:val="000000"/>
                      <w:sz w:val="24"/>
                    </w:rPr>
                    <w:t>统一评价服务</w:t>
                  </w:r>
                </w:p>
              </w:tc>
              <w:tc>
                <w:tcPr>
                  <w:tcW w:type="dxa" w:w="1155"/>
                  <w:vMerge w:val="restart"/>
                  <w:tcBorders>
                    <w:top w:val="none" w:color="000000" w:sz="4"/>
                    <w:left w:val="none" w:color="000000" w:sz="4"/>
                    <w:bottom w:val="single" w:color="000000" w:sz="4"/>
                    <w:right w:val="single" w:color="000000" w:sz="4"/>
                  </w:tcBorders>
                  <w:vAlign w:val="top"/>
                </w:tcPr>
                <w:p>
                  <w:pPr>
                    <w:jc w:val="both"/>
                  </w:pPr>
                  <w:r>
                    <w:rPr>
                      <w:color w:val="000000"/>
                      <w:sz w:val="24"/>
                    </w:rPr>
                    <w:t>评价器支持办事窗口基本信息展示，包括（人员姓名、窗口信息等），在业务办理中，支持电子表单书写签名，在业务办理完成后，支持在线评价。</w:t>
                  </w: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窗口工作人员上班后，登录云浮市一体化公共服务平台，评价器作为窗口水牌，展示窗口信息，人员信息等；</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、提供窗口信息数据标准</w:t>
                  </w:r>
                  <w:r>
                    <w:br/>
                  </w:r>
                  <w:r>
                    <w:rPr>
                      <w:color w:val="000000"/>
                      <w:sz w:val="24"/>
                    </w:rPr>
                    <w:t>2</w:t>
                  </w:r>
                  <w:r>
                    <w:rPr>
                      <w:color w:val="000000"/>
                      <w:sz w:val="24"/>
                    </w:rPr>
                    <w:t>、云浮市一体化公共服务平台接收到评价器请求信息后，返回窗口信息至评价系统。</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tcBorders>
                    <w:top w:val="none" w:color="000000" w:sz="4"/>
                    <w:left w:val="single" w:color="000000" w:sz="4"/>
                    <w:bottom w:val="single" w:color="000000" w:sz="4"/>
                    <w:right w:val="single" w:color="000000" w:sz="4"/>
                  </w:tcBorders>
                </w:tcPr>
                <w:p/>
              </w:tc>
              <w:tc>
                <w:tcPr>
                  <w:tcW w:type="dxa" w:w="1155"/>
                  <w:vMerge/>
                  <w:tcBorders>
                    <w:top w:val="none" w:color="000000" w:sz="4"/>
                    <w:left w:val="none" w:color="000000" w:sz="4"/>
                    <w:bottom w:val="single" w:color="000000" w:sz="4"/>
                    <w:right w:val="single" w:color="000000" w:sz="4"/>
                  </w:tcBorders>
                </w:tcP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窗口工作人员下班或者临时离开后，退出云浮市一体化公共服务平台或者锁屏，评价器作为窗口水牌，展示</w:t>
                  </w:r>
                  <w:r>
                    <w:rPr>
                      <w:color w:val="000000"/>
                      <w:sz w:val="24"/>
                    </w:rPr>
                    <w:t>“</w:t>
                  </w:r>
                  <w:r>
                    <w:rPr>
                      <w:color w:val="000000"/>
                      <w:sz w:val="24"/>
                    </w:rPr>
                    <w:t>暂停服务</w:t>
                  </w:r>
                  <w:r>
                    <w:rPr>
                      <w:color w:val="000000"/>
                      <w:sz w:val="24"/>
                    </w:rPr>
                    <w:t>”</w:t>
                  </w:r>
                  <w:r>
                    <w:rPr>
                      <w:color w:val="000000"/>
                      <w:sz w:val="24"/>
                    </w:rPr>
                    <w:t>信息；</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、提供窗口信息数据标准</w:t>
                  </w:r>
                  <w:r>
                    <w:br/>
                  </w:r>
                  <w:r>
                    <w:rPr>
                      <w:color w:val="000000"/>
                      <w:sz w:val="24"/>
                    </w:rPr>
                    <w:t>2</w:t>
                  </w:r>
                  <w:r>
                    <w:rPr>
                      <w:color w:val="000000"/>
                      <w:sz w:val="24"/>
                    </w:rPr>
                    <w:t>、推送</w:t>
                  </w:r>
                  <w:r>
                    <w:rPr>
                      <w:color w:val="000000"/>
                      <w:sz w:val="24"/>
                    </w:rPr>
                    <w:t>“</w:t>
                  </w:r>
                  <w:r>
                    <w:rPr>
                      <w:color w:val="000000"/>
                      <w:sz w:val="24"/>
                    </w:rPr>
                    <w:t>暂停服务</w:t>
                  </w:r>
                  <w:r>
                    <w:rPr>
                      <w:color w:val="000000"/>
                      <w:sz w:val="24"/>
                    </w:rPr>
                    <w:t>”</w:t>
                  </w:r>
                  <w:r>
                    <w:rPr>
                      <w:color w:val="000000"/>
                      <w:sz w:val="24"/>
                    </w:rPr>
                    <w:t>信息至叫取号系统</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tcBorders>
                    <w:top w:val="none" w:color="000000" w:sz="4"/>
                    <w:left w:val="single" w:color="000000" w:sz="4"/>
                    <w:bottom w:val="single" w:color="000000" w:sz="4"/>
                    <w:right w:val="single" w:color="000000" w:sz="4"/>
                  </w:tcBorders>
                </w:tcPr>
                <w:p/>
              </w:tc>
              <w:tc>
                <w:tcPr>
                  <w:tcW w:type="dxa" w:w="1155"/>
                  <w:vMerge/>
                  <w:tcBorders>
                    <w:top w:val="none" w:color="000000" w:sz="4"/>
                    <w:left w:val="none" w:color="000000" w:sz="4"/>
                    <w:bottom w:val="single" w:color="000000" w:sz="4"/>
                    <w:right w:val="single" w:color="000000" w:sz="4"/>
                  </w:tcBorders>
                </w:tcP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工作人员在办事过程中，需要在评价器上动态展示部门二维码、事项二维码，让办事人扫码获取相关信息，扫码后工作人员可取消二维码信息的展示</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、提供二维码信息数据标准</w:t>
                  </w:r>
                  <w:r>
                    <w:br/>
                  </w:r>
                  <w:r>
                    <w:rPr>
                      <w:color w:val="000000"/>
                      <w:sz w:val="24"/>
                    </w:rPr>
                    <w:t>2</w:t>
                  </w:r>
                  <w:r>
                    <w:rPr>
                      <w:color w:val="000000"/>
                      <w:sz w:val="24"/>
                    </w:rPr>
                    <w:t>、推送二维码信息推送至服务端，叫取号系统获取数据。</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tcBorders>
                    <w:top w:val="none" w:color="000000" w:sz="4"/>
                    <w:left w:val="single" w:color="000000" w:sz="4"/>
                    <w:bottom w:val="single" w:color="000000" w:sz="4"/>
                    <w:right w:val="single" w:color="000000" w:sz="4"/>
                  </w:tcBorders>
                </w:tcPr>
                <w:p/>
              </w:tc>
              <w:tc>
                <w:tcPr>
                  <w:tcW w:type="dxa" w:w="1155"/>
                  <w:vMerge/>
                  <w:tcBorders>
                    <w:top w:val="none" w:color="000000" w:sz="4"/>
                    <w:left w:val="none" w:color="000000" w:sz="4"/>
                    <w:bottom w:val="single" w:color="000000" w:sz="4"/>
                    <w:right w:val="single" w:color="000000" w:sz="4"/>
                  </w:tcBorders>
                </w:tcP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扫码后，工作人员取消二维码信息的展示</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、提供取消二维码展示数据标准</w:t>
                  </w:r>
                  <w:r>
                    <w:br/>
                  </w:r>
                  <w:r>
                    <w:rPr>
                      <w:color w:val="000000"/>
                      <w:sz w:val="24"/>
                    </w:rPr>
                    <w:t>2</w:t>
                  </w:r>
                  <w:r>
                    <w:rPr>
                      <w:color w:val="000000"/>
                      <w:sz w:val="24"/>
                    </w:rPr>
                    <w:t>、推送取消展示信息至叫取号系统</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vMerge/>
                  <w:tcBorders>
                    <w:top w:val="none" w:color="000000" w:sz="4"/>
                    <w:left w:val="single" w:color="000000" w:sz="4"/>
                    <w:bottom w:val="single" w:color="000000" w:sz="4"/>
                    <w:right w:val="single" w:color="000000" w:sz="4"/>
                  </w:tcBorders>
                </w:tcPr>
                <w:p/>
              </w:tc>
              <w:tc>
                <w:tcPr>
                  <w:tcW w:type="dxa" w:w="1155"/>
                  <w:vMerge/>
                  <w:tcBorders>
                    <w:top w:val="none" w:color="000000" w:sz="4"/>
                    <w:left w:val="none" w:color="000000" w:sz="4"/>
                    <w:bottom w:val="single" w:color="000000" w:sz="4"/>
                    <w:right w:val="single" w:color="000000" w:sz="4"/>
                  </w:tcBorders>
                </w:tcPr>
                <w:p/>
              </w:tc>
              <w:tc>
                <w:tcPr>
                  <w:tcW w:type="dxa" w:w="1380"/>
                  <w:tcBorders>
                    <w:top w:val="none" w:color="000000" w:sz="4"/>
                    <w:left w:val="none" w:color="000000" w:sz="4"/>
                    <w:bottom w:val="single" w:color="000000" w:sz="4"/>
                    <w:right w:val="single" w:color="000000" w:sz="4"/>
                  </w:tcBorders>
                  <w:vAlign w:val="top"/>
                </w:tcPr>
                <w:p>
                  <w:pPr>
                    <w:jc w:val="both"/>
                  </w:pPr>
                  <w:r>
                    <w:rPr>
                      <w:color w:val="000000"/>
                      <w:sz w:val="24"/>
                    </w:rPr>
                    <w:t>工作人员办理业务后，发起服务评价，并引导办事群众进行评价</w:t>
                  </w:r>
                </w:p>
              </w:tc>
              <w:tc>
                <w:tcPr>
                  <w:tcW w:type="dxa" w:w="1665"/>
                  <w:tcBorders>
                    <w:top w:val="none" w:color="000000" w:sz="4"/>
                    <w:left w:val="none" w:color="000000" w:sz="4"/>
                    <w:bottom w:val="single" w:color="000000" w:sz="4"/>
                    <w:right w:val="single" w:color="000000" w:sz="4"/>
                  </w:tcBorders>
                  <w:vAlign w:val="top"/>
                </w:tcPr>
                <w:p>
                  <w:pPr>
                    <w:jc w:val="both"/>
                  </w:pPr>
                  <w:r>
                    <w:rPr>
                      <w:color w:val="000000"/>
                      <w:sz w:val="24"/>
                    </w:rPr>
                    <w:t>1</w:t>
                  </w:r>
                  <w:r>
                    <w:rPr>
                      <w:color w:val="000000"/>
                      <w:sz w:val="24"/>
                    </w:rPr>
                    <w:t>、提供服务评价数据标准</w:t>
                  </w:r>
                  <w:r>
                    <w:br/>
                  </w:r>
                  <w:r>
                    <w:rPr>
                      <w:color w:val="000000"/>
                      <w:sz w:val="24"/>
                    </w:rPr>
                    <w:t>2</w:t>
                  </w:r>
                  <w:r>
                    <w:rPr>
                      <w:color w:val="000000"/>
                      <w:sz w:val="24"/>
                    </w:rPr>
                    <w:t>、推送发起评价的信息到叫取号系统</w:t>
                  </w:r>
                  <w:r>
                    <w:br/>
                  </w:r>
                  <w:r>
                    <w:rPr>
                      <w:color w:val="000000"/>
                      <w:sz w:val="24"/>
                    </w:rPr>
                    <w:t>3</w:t>
                  </w:r>
                  <w:r>
                    <w:rPr>
                      <w:color w:val="000000"/>
                      <w:sz w:val="24"/>
                    </w:rPr>
                    <w:t>、接收叫取号系统返回的评价结果数据</w:t>
                  </w:r>
                  <w:r>
                    <w:br/>
                  </w:r>
                  <w:r>
                    <w:rPr>
                      <w:color w:val="000000"/>
                      <w:sz w:val="24"/>
                    </w:rPr>
                    <w:t>3</w:t>
                  </w:r>
                  <w:r>
                    <w:rPr>
                      <w:color w:val="000000"/>
                      <w:sz w:val="24"/>
                    </w:rPr>
                    <w:t>、数据交互联调开发</w:t>
                  </w:r>
                </w:p>
              </w:tc>
              <w:tc>
                <w:tcPr>
                  <w:tcW w:type="dxa" w:w="495"/>
                  <w:tcBorders>
                    <w:top w:val="none" w:color="000000" w:sz="4"/>
                    <w:left w:val="none" w:color="000000" w:sz="4"/>
                    <w:bottom w:val="single" w:color="000000" w:sz="4"/>
                    <w:right w:val="single" w:color="000000" w:sz="4"/>
                  </w:tcBorders>
                  <w:vAlign w:val="top"/>
                </w:tcPr>
                <w:p>
                  <w:pPr>
                    <w:jc w:val="both"/>
                  </w:pPr>
                  <w:r>
                    <w:rPr>
                      <w:color w:val="000000"/>
                      <w:sz w:val="24"/>
                    </w:rPr>
                    <w:t>实时</w:t>
                  </w:r>
                </w:p>
              </w:tc>
            </w:tr>
            <w:tr>
              <w:tc>
                <w:tcPr>
                  <w:tcW w:type="dxa" w:w="870"/>
                  <w:tcBorders>
                    <w:top w:val="none" w:color="000000" w:sz="4"/>
                    <w:left w:val="single" w:color="000000" w:sz="4"/>
                    <w:bottom w:val="single" w:color="000000" w:sz="4"/>
                    <w:right w:val="single" w:color="000000" w:sz="4"/>
                  </w:tcBorders>
                  <w:vAlign w:val="top"/>
                </w:tcPr>
                <w:p>
                  <w:pPr>
                    <w:jc w:val="both"/>
                  </w:pPr>
                </w:p>
              </w:tc>
              <w:tc>
                <w:tcPr>
                  <w:tcW w:type="dxa" w:w="1155"/>
                  <w:tcBorders>
                    <w:top w:val="none" w:color="000000" w:sz="4"/>
                    <w:left w:val="none" w:color="000000" w:sz="4"/>
                    <w:bottom w:val="single" w:color="000000" w:sz="4"/>
                    <w:right w:val="single" w:color="000000" w:sz="4"/>
                  </w:tcBorders>
                  <w:vAlign w:val="top"/>
                </w:tcPr>
                <w:p>
                  <w:pPr>
                    <w:jc w:val="both"/>
                  </w:pPr>
                </w:p>
              </w:tc>
              <w:tc>
                <w:tcPr>
                  <w:tcW w:type="dxa" w:w="3540"/>
                  <w:gridSpan w:val="3"/>
                  <w:tcBorders>
                    <w:top w:val="none" w:color="000000" w:sz="4"/>
                    <w:left w:val="none" w:color="000000" w:sz="4"/>
                    <w:bottom w:val="single" w:color="000000" w:sz="4"/>
                    <w:right w:val="single" w:color="000000" w:sz="4"/>
                  </w:tcBorders>
                  <w:vAlign w:val="top"/>
                </w:tcPr>
                <w:p>
                  <w:pPr>
                    <w:jc w:val="both"/>
                  </w:pPr>
                  <w:r>
                    <w:rPr>
                      <w:color w:val="000000"/>
                      <w:sz w:val="24"/>
                    </w:rPr>
                    <w:t>工作人员在办理业务过程中，需要办事群众在授权书、申请表等电子文件上进行签名</w:t>
                  </w:r>
                </w:p>
              </w:tc>
            </w:tr>
          </w:tbl>
        </w:tc>
      </w:tr>
      <w:tr>
        <w:tc>
          <w:tcPr>
            <w:tcW w:type="dxa" w:w="2076"/>
          </w:tcPr>
          <w:p/>
        </w:tc>
        <w:tc>
          <w:tcPr>
            <w:tcW w:type="dxa" w:w="415"/>
          </w:tcPr>
          <w:p>
            <w:r>
              <w:rPr/>
              <w:t>11</w:t>
            </w:r>
          </w:p>
        </w:tc>
        <w:tc>
          <w:tcPr>
            <w:tcW w:type="dxa" w:w="5814"/>
          </w:tcPr>
          <w:p>
            <w:pPr>
              <w:jc w:val="both"/>
            </w:pPr>
            <w:r>
              <w:rPr>
                <w:color w:val="000000"/>
                <w:sz w:val="24"/>
              </w:rPr>
              <w:t>十一、</w:t>
            </w:r>
            <w:r>
              <w:rPr>
                <w:color w:val="000000"/>
                <w:sz w:val="24"/>
              </w:rPr>
              <w:t>运营与运维服务</w:t>
            </w:r>
          </w:p>
          <w:p>
            <w:pPr>
              <w:jc w:val="both"/>
            </w:pPr>
            <w:r>
              <w:rPr>
                <w:color w:val="000000"/>
                <w:sz w:val="24"/>
              </w:rPr>
              <w:t>11.1 服务范围及服务期限</w:t>
            </w:r>
          </w:p>
          <w:p>
            <w:pPr>
              <w:ind w:firstLine="480"/>
              <w:jc w:val="both"/>
            </w:pPr>
            <w:r>
              <w:rPr>
                <w:color w:val="000000"/>
                <w:sz w:val="24"/>
              </w:rPr>
              <w:t>本次项目服务内容包括统一排队叫号系统部署、硬件设备安装维修、系统对接工作（完成与</w:t>
            </w:r>
            <w:r>
              <w:rPr>
                <w:color w:val="000000"/>
                <w:sz w:val="24"/>
              </w:rPr>
              <w:t>云浮市一体化公共服务平台、云浮</w:t>
            </w:r>
            <w:r>
              <w:rPr>
                <w:color w:val="000000"/>
                <w:sz w:val="24"/>
              </w:rPr>
              <w:t>市统一预约系统对接</w:t>
            </w:r>
            <w:r>
              <w:rPr>
                <w:color w:val="000000"/>
                <w:sz w:val="24"/>
              </w:rPr>
              <w:t>）、运营服务等。</w:t>
            </w:r>
          </w:p>
          <w:p>
            <w:pPr>
              <w:ind w:firstLine="480"/>
              <w:jc w:val="both"/>
            </w:pPr>
            <w:r>
              <w:rPr>
                <w:color w:val="000000"/>
                <w:sz w:val="24"/>
              </w:rPr>
              <w:t>主体项目合同签订完成后，提供</w:t>
            </w:r>
            <w:r>
              <w:rPr>
                <w:color w:val="000000"/>
                <w:sz w:val="24"/>
              </w:rPr>
              <w:t>3年免费维保期，因此本次运维服务期限设定为签订合同后的3个自然年度。</w:t>
            </w:r>
          </w:p>
          <w:p>
            <w:pPr>
              <w:jc w:val="both"/>
            </w:pPr>
            <w:r>
              <w:rPr>
                <w:color w:val="000000"/>
                <w:sz w:val="24"/>
              </w:rPr>
              <w:t>11.2 服务模式</w:t>
            </w:r>
          </w:p>
          <w:p>
            <w:pPr>
              <w:ind w:firstLine="480"/>
              <w:jc w:val="both"/>
            </w:pPr>
            <w:r>
              <w:rPr>
                <w:color w:val="000000"/>
                <w:sz w:val="24"/>
              </w:rPr>
              <w:t>供应商承担个包括排队叫号系统、硬件设备安装、维修、预约接口、评价接口、云浮市一体化公共服务平台接口等日常维护工作，包括应用软件系统日常监控、应用软件系统安全管理、故障分析处理及巡检、预警机制、应急服务、应用软件数据维护、应用软件缺陷分析和修复、软件变更、软件发布、应用系统配置管理、测试环境维护、应用软件适应性维护、运维材料补充和整理等服务内容，并提供热线服务、远程服务、应急服务和巡检服务。</w:t>
            </w:r>
          </w:p>
          <w:p>
            <w:pPr>
              <w:jc w:val="both"/>
            </w:pPr>
            <w:r>
              <w:rPr>
                <w:color w:val="000000"/>
                <w:sz w:val="24"/>
              </w:rPr>
              <w:t>11.3 服务需求</w:t>
            </w:r>
          </w:p>
          <w:tbl>
            <w:tblPr>
              <w:tblBorders>
                <w:top w:val="none" w:color="000000" w:sz="4"/>
                <w:left w:val="none" w:color="000000" w:sz="4"/>
                <w:bottom w:val="none" w:color="000000" w:sz="4"/>
                <w:right w:val="none" w:color="000000" w:sz="4"/>
                <w:insideH w:val="none"/>
                <w:insideV w:val="none"/>
              </w:tblBorders>
            </w:tblPr>
            <w:tblGrid>
              <w:gridCol w:w="270"/>
              <w:gridCol w:w="2021"/>
              <w:gridCol w:w="3307"/>
            </w:tblGrid>
            <w:tr>
              <w:tc>
                <w:tcPr>
                  <w:tcW w:type="dxa" w:w="270"/>
                  <w:tcBorders>
                    <w:top w:val="single" w:color="000000" w:sz="4"/>
                    <w:left w:val="single" w:color="000000" w:sz="4"/>
                    <w:bottom w:val="single" w:color="000000" w:sz="4"/>
                    <w:right w:val="single" w:color="000000" w:sz="4"/>
                  </w:tcBorders>
                  <w:shd w:fill="F1F1F1"/>
                  <w:vAlign w:val="top"/>
                </w:tcPr>
                <w:p>
                  <w:pPr>
                    <w:jc w:val="center"/>
                  </w:pPr>
                  <w:r>
                    <w:rPr>
                      <w:b/>
                      <w:color w:val="000000"/>
                      <w:sz w:val="24"/>
                    </w:rPr>
                    <w:t>序号</w:t>
                  </w:r>
                </w:p>
              </w:tc>
              <w:tc>
                <w:tcPr>
                  <w:tcW w:type="dxa" w:w="2021"/>
                  <w:tcBorders>
                    <w:top w:val="single" w:color="000000" w:sz="4"/>
                    <w:left w:val="single" w:color="000000" w:sz="4"/>
                    <w:bottom w:val="single" w:color="000000" w:sz="4"/>
                    <w:right w:val="single" w:color="000000" w:sz="4"/>
                  </w:tcBorders>
                  <w:shd w:fill="F1F1F1"/>
                  <w:vAlign w:val="top"/>
                </w:tcPr>
                <w:p>
                  <w:pPr>
                    <w:jc w:val="center"/>
                  </w:pPr>
                  <w:r>
                    <w:rPr>
                      <w:b/>
                      <w:color w:val="000000"/>
                      <w:sz w:val="24"/>
                    </w:rPr>
                    <w:t>相关内容</w:t>
                  </w:r>
                </w:p>
              </w:tc>
              <w:tc>
                <w:tcPr>
                  <w:tcW w:type="dxa" w:w="3307"/>
                  <w:tcBorders>
                    <w:top w:val="single" w:color="000000" w:sz="4"/>
                    <w:left w:val="single" w:color="000000" w:sz="4"/>
                    <w:bottom w:val="single" w:color="000000" w:sz="4"/>
                    <w:right w:val="single" w:color="000000" w:sz="4"/>
                  </w:tcBorders>
                  <w:shd w:fill="F1F1F1"/>
                  <w:vAlign w:val="top"/>
                </w:tcPr>
                <w:p>
                  <w:pPr>
                    <w:jc w:val="center"/>
                  </w:pPr>
                  <w:r>
                    <w:rPr>
                      <w:b/>
                      <w:color w:val="000000"/>
                      <w:sz w:val="24"/>
                    </w:rPr>
                    <w:t>维护要求</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1</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应用软件系统日常监控</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监控具体指标内容</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2</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应用软件系统安全管理</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定期变更密码，为服务器和操作系统进行升级与打补丁，进行数据备份等</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3</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故障分析处理及巡检、预警机制和应急服务</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做好核心业务系统应急预案和应急措施，定期巡检，及时处理系统故障</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4</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应用软件数据维护</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对应用数据进行操作，定期统计数据运维状况</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5</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数据库备份和数据安全</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根据数据库系统实际情况规范实施符合用户要求的备份恢复方案</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6</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应用软件缺陷分析和修复</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主动、及时的发现、分析、处理系统缺陷，提升应用系统的可用性</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7</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软件变更、发布管理</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分析用户需求，进行系统变更，制定发布计划，进行发布测试、实施等</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8</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应用系统配置管理</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根据需求完善一切与配置管理相关的工作</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9</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测试环境维护</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搭建测试环境，保证测试工作正常开展</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10</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应用软件适应性维护服务</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针对应用系统的功能模块进行适应性修改完善</w:t>
                  </w:r>
                </w:p>
              </w:tc>
            </w:tr>
            <w:tr>
              <w:tc>
                <w:tcPr>
                  <w:tcW w:type="dxa" w:w="270"/>
                  <w:tcBorders>
                    <w:top w:val="none" w:color="000000" w:sz="4"/>
                    <w:left w:val="single" w:color="000000" w:sz="4"/>
                    <w:bottom w:val="single" w:color="000000" w:sz="4"/>
                    <w:right w:val="single" w:color="000000" w:sz="4"/>
                  </w:tcBorders>
                  <w:vAlign w:val="top"/>
                </w:tcPr>
                <w:p>
                  <w:pPr>
                    <w:jc w:val="center"/>
                  </w:pPr>
                  <w:r>
                    <w:rPr>
                      <w:color w:val="000000"/>
                      <w:sz w:val="24"/>
                    </w:rPr>
                    <w:t>11</w:t>
                  </w:r>
                </w:p>
              </w:tc>
              <w:tc>
                <w:tcPr>
                  <w:tcW w:type="dxa" w:w="2021"/>
                  <w:tcBorders>
                    <w:top w:val="none" w:color="000000" w:sz="4"/>
                    <w:left w:val="single" w:color="000000" w:sz="4"/>
                    <w:bottom w:val="single" w:color="000000" w:sz="4"/>
                    <w:right w:val="single" w:color="000000" w:sz="4"/>
                  </w:tcBorders>
                  <w:vAlign w:val="top"/>
                </w:tcPr>
                <w:p>
                  <w:pPr>
                    <w:jc w:val="left"/>
                  </w:pPr>
                  <w:r>
                    <w:rPr>
                      <w:color w:val="000000"/>
                      <w:sz w:val="24"/>
                    </w:rPr>
                    <w:t>应用软件运维材料补充和整理</w:t>
                  </w:r>
                </w:p>
              </w:tc>
              <w:tc>
                <w:tcPr>
                  <w:tcW w:type="dxa" w:w="3307"/>
                  <w:tcBorders>
                    <w:top w:val="none" w:color="000000" w:sz="4"/>
                    <w:left w:val="single" w:color="000000" w:sz="4"/>
                    <w:bottom w:val="single" w:color="000000" w:sz="4"/>
                    <w:right w:val="single" w:color="000000" w:sz="4"/>
                  </w:tcBorders>
                  <w:vAlign w:val="top"/>
                </w:tcPr>
                <w:p>
                  <w:pPr>
                    <w:jc w:val="left"/>
                  </w:pPr>
                  <w:r>
                    <w:rPr>
                      <w:color w:val="000000"/>
                      <w:sz w:val="24"/>
                    </w:rPr>
                    <w:t>提供应用软件的运维材料，对运维材料进行补充和整理</w:t>
                  </w:r>
                </w:p>
              </w:tc>
            </w:tr>
          </w:tbl>
        </w:tc>
      </w:tr>
      <w:tr>
        <w:tc>
          <w:tcPr>
            <w:tcW w:type="dxa" w:w="2076"/>
          </w:tcPr>
          <w:p/>
        </w:tc>
        <w:tc>
          <w:tcPr>
            <w:tcW w:type="dxa" w:w="415"/>
          </w:tcPr>
          <w:p>
            <w:r>
              <w:rPr/>
              <w:t>12</w:t>
            </w:r>
          </w:p>
        </w:tc>
        <w:tc>
          <w:tcPr>
            <w:tcW w:type="dxa" w:w="5814"/>
          </w:tcPr>
          <w:p>
            <w:pPr>
              <w:jc w:val="both"/>
            </w:pPr>
            <w:r>
              <w:rPr>
                <w:color w:val="000000"/>
                <w:sz w:val="24"/>
              </w:rPr>
              <w:t>十二、</w:t>
            </w:r>
            <w:r>
              <w:rPr>
                <w:color w:val="000000"/>
                <w:sz w:val="24"/>
              </w:rPr>
              <w:t>服务基础内容</w:t>
            </w:r>
          </w:p>
          <w:p>
            <w:pPr>
              <w:jc w:val="both"/>
            </w:pPr>
            <w:r>
              <w:rPr>
                <w:color w:val="000000"/>
                <w:sz w:val="24"/>
              </w:rPr>
              <w:t>12.1 应用软件系统日常监控</w:t>
            </w:r>
          </w:p>
          <w:p>
            <w:pPr>
              <w:ind w:firstLine="480"/>
              <w:jc w:val="both"/>
            </w:pPr>
            <w:r>
              <w:rPr>
                <w:color w:val="000000"/>
                <w:sz w:val="24"/>
              </w:rPr>
              <w:t>提供日常监控服务，规范日常监测工作，加强通报及实际执行情况考核，制定监测汇报流程，定义流程中各个角色的职责，确定发现问题时的通报和跟进机制。使用服务管理系统、专业监控软件等定位工具辅助完成监测汇报流程的执行和考核，在软件中制定巡检计划，进行巡检签到，发现问题处理后，将处理情况记入巡检结果。应用软件系统日常监控对象包括应用软件、数据库、应用系统承载环境等，相应的监控指标如下：</w:t>
            </w:r>
          </w:p>
          <w:p>
            <w:pPr>
              <w:ind w:firstLine="480"/>
              <w:jc w:val="both"/>
            </w:pPr>
            <w:r>
              <w:rPr>
                <w:color w:val="000000"/>
                <w:sz w:val="24"/>
              </w:rPr>
              <w:t>应用软件监控：通过工具监控应用软件访问有效性和时效性，对操作系统、中间件、数据库、网络、应用软件等资源使用情况及运行状况进行监控，并做好每周的运维报告。如发现问题必须及时向项目运维专干汇报，及时处理。</w:t>
            </w:r>
          </w:p>
          <w:p>
            <w:pPr>
              <w:ind w:firstLine="480"/>
              <w:jc w:val="both"/>
            </w:pPr>
            <w:r>
              <w:rPr>
                <w:color w:val="000000"/>
                <w:sz w:val="24"/>
              </w:rPr>
              <w:t>数据库监控：负责在用数据库日常监控工作，确保业务系统的运行环境稳定，发现异常情况需报运维专干，由采购人统一调度维护服务资源。</w:t>
            </w:r>
          </w:p>
          <w:p>
            <w:pPr>
              <w:jc w:val="both"/>
            </w:pPr>
            <w:r>
              <w:rPr>
                <w:color w:val="000000"/>
                <w:sz w:val="24"/>
              </w:rPr>
              <w:t>12.2应用软件系统安全管理</w:t>
            </w:r>
          </w:p>
          <w:p>
            <w:pPr>
              <w:ind w:firstLine="480"/>
              <w:jc w:val="both"/>
            </w:pPr>
            <w:r>
              <w:rPr>
                <w:color w:val="000000"/>
                <w:sz w:val="24"/>
              </w:rPr>
              <w:t>定期为与应用系统相关的中间件、数据库等进行密码变更，为操作系统进行升级与打补丁，进行（或配合）系统防病毒、数据备份、系统操作记录分析等工作，分析可能的安全漏洞并予以解决。</w:t>
            </w:r>
          </w:p>
          <w:p>
            <w:pPr>
              <w:jc w:val="both"/>
            </w:pPr>
            <w:r>
              <w:rPr>
                <w:color w:val="000000"/>
                <w:sz w:val="24"/>
              </w:rPr>
              <w:t>12.3故障分析处理及巡检、预警机制、应急服务</w:t>
            </w:r>
          </w:p>
          <w:p>
            <w:pPr>
              <w:ind w:firstLine="480"/>
              <w:jc w:val="both"/>
            </w:pPr>
            <w:r>
              <w:rPr>
                <w:color w:val="000000"/>
                <w:sz w:val="24"/>
              </w:rPr>
              <w:t>按照系统性能监控与日志分析的要求列出巡检目录和内容，对数据库、系统各进程进行巡检，以确保系统</w:t>
            </w:r>
            <w:r>
              <w:rPr>
                <w:color w:val="000000"/>
                <w:sz w:val="24"/>
              </w:rPr>
              <w:t>“性能可用”，最终保障整个系统的正常运行。定期巡检年度不少于四次，具体巡检时间可以根据实际情况进行增加和调整。同时根据巡检内容及其运行环境的变化，实时更新巡检手册。巡检手册应包含完整的巡检对象、巡检步骤、故障判定依据及处理方法性。</w:t>
            </w:r>
          </w:p>
          <w:p>
            <w:pPr>
              <w:ind w:firstLine="480"/>
              <w:jc w:val="both"/>
            </w:pPr>
            <w:r>
              <w:rPr>
                <w:color w:val="000000"/>
                <w:sz w:val="24"/>
              </w:rPr>
              <w:t>做好核心业务系统应急预案和应急措施，一旦业务系统发生故障，需要在快速恢复使用的基础上，在确保应用系统恢复正常使用，不影响业务访问的前提下，分析原因并尽快解决根本问题，填写重大故障报告，报告内容应含有：故障现象、处理过程、影响情况、原因分析、分析说明、应急方案、处理方法等。</w:t>
            </w:r>
          </w:p>
          <w:p>
            <w:pPr>
              <w:jc w:val="both"/>
            </w:pPr>
            <w:r>
              <w:rPr>
                <w:color w:val="000000"/>
                <w:sz w:val="24"/>
              </w:rPr>
              <w:t>12.4应用软件数据维护</w:t>
            </w:r>
          </w:p>
          <w:p>
            <w:pPr>
              <w:ind w:firstLine="480"/>
              <w:jc w:val="both"/>
            </w:pPr>
            <w:r>
              <w:rPr>
                <w:color w:val="000000"/>
                <w:sz w:val="24"/>
              </w:rPr>
              <w:t>经运维审批，在采购人许可的条件下，对应用数据进行增、删、改、查等操作，做好操作记录，定期统计数据运维状况，并深入查找数据运维的原因，降低数据运维的数量，提升业务系统采购人的自主操作能力。</w:t>
            </w:r>
          </w:p>
          <w:p>
            <w:pPr>
              <w:ind w:firstLine="480"/>
              <w:jc w:val="both"/>
            </w:pPr>
            <w:r>
              <w:rPr>
                <w:color w:val="000000"/>
                <w:sz w:val="24"/>
              </w:rPr>
              <w:t>在本项目中，需按照采购人提供的数据标准管理工具录入所运维的业务系统数据库相关更新内容，保证标准管理工具录入更新内容及更新后物理数据库设计的一致性；在数据管理实施中，运维管理方将由专职人员负责审核运维商录入内容，如出现不符合要求，则需重新按照数据管控任务执行，直至采购人运维管理方审核通过。</w:t>
            </w:r>
          </w:p>
          <w:p>
            <w:pPr>
              <w:ind w:firstLine="480"/>
              <w:jc w:val="both"/>
            </w:pPr>
            <w:r>
              <w:rPr>
                <w:color w:val="000000"/>
                <w:sz w:val="24"/>
              </w:rPr>
              <w:t>本项目中要求运维服务商根据采购人要求，通过不断完善和改进前端业务应用功能，减少和避免后台数据修改，通过业务人员自行通过审批进行数据的增、删、改。</w:t>
            </w:r>
          </w:p>
          <w:p>
            <w:pPr>
              <w:jc w:val="both"/>
            </w:pPr>
            <w:r>
              <w:rPr>
                <w:color w:val="000000"/>
                <w:sz w:val="24"/>
              </w:rPr>
              <w:t>12.5数据库备份和数据安全</w:t>
            </w:r>
          </w:p>
          <w:p>
            <w:pPr>
              <w:ind w:firstLine="480"/>
              <w:jc w:val="both"/>
            </w:pPr>
            <w:r>
              <w:rPr>
                <w:color w:val="000000"/>
                <w:sz w:val="24"/>
              </w:rPr>
              <w:t>配合采购人做好数据库备份工作，根据数据库系统实际情况，规划实施符合用户工作要求的完善的备份恢复方案，以确保用户数据库系统的安全可靠运行。通过对安全设备的合理利用和部署，减少因系统故障、网络病毒等不良因素对系统数据的影响，保障系统业务数据的安全。</w:t>
            </w:r>
          </w:p>
          <w:p>
            <w:pPr>
              <w:jc w:val="both"/>
            </w:pPr>
            <w:r>
              <w:rPr>
                <w:color w:val="000000"/>
                <w:sz w:val="24"/>
              </w:rPr>
              <w:t>12.6应用软件缺陷分析和修复</w:t>
            </w:r>
          </w:p>
          <w:p>
            <w:pPr>
              <w:ind w:firstLine="480"/>
              <w:jc w:val="both"/>
            </w:pPr>
            <w:r>
              <w:rPr>
                <w:color w:val="000000"/>
                <w:sz w:val="24"/>
              </w:rPr>
              <w:t>主动、及时的发现、分析系统缺陷，提升应用系统的可用性。</w:t>
            </w:r>
          </w:p>
          <w:p>
            <w:pPr>
              <w:ind w:firstLine="480"/>
              <w:jc w:val="both"/>
            </w:pPr>
            <w:r>
              <w:rPr>
                <w:color w:val="000000"/>
                <w:sz w:val="24"/>
              </w:rPr>
              <w:t>当系统缺陷发生后，应在</w:t>
            </w:r>
            <w:r>
              <w:rPr>
                <w:color w:val="000000"/>
                <w:sz w:val="24"/>
              </w:rPr>
              <w:t>1小时内响应，包括向负责科室相关负责人、监理、保障平台汇报情况，立即开始分析问题发生原因及解决方案，提供升级改造初步方案和实施计划，同时遵照负责科室的要求，配合服务台分析解决问题需要的协助资源运维事件处理过程中，要服从监理方的考核工作，积极配合其他运维服务人员的工作，争取在最短时间内解决问题；一般情况下，应用系统故障解决时间不超过48小时。</w:t>
            </w:r>
          </w:p>
          <w:p>
            <w:pPr>
              <w:ind w:firstLine="480"/>
              <w:jc w:val="both"/>
            </w:pPr>
            <w:r>
              <w:rPr>
                <w:color w:val="000000"/>
                <w:sz w:val="24"/>
              </w:rPr>
              <w:t>对缺陷的修补工作，运维服务商应提交系统修补需求和修补计划，按采购人要求完成系统缺陷修补工作，为避免缺陷对应用的影响，缺陷修补完成时间要求在一周内完成，超出时间的要求提交延期完成申请，延期时间最长不能超过一周。另因缺陷问题导致应用系统无法正常运行或影响业务正常操作的，同时在限定时间内无法完成修补工作的，将按照绩效考核中的投诉进行处理。</w:t>
            </w:r>
            <w:r>
              <w:rPr>
                <w:color w:val="000000"/>
                <w:sz w:val="24"/>
              </w:rPr>
              <w:t>12.7软件变更、发布管理</w:t>
            </w:r>
          </w:p>
          <w:p>
            <w:pPr>
              <w:ind w:firstLine="480"/>
              <w:jc w:val="both"/>
            </w:pPr>
            <w:r>
              <w:rPr>
                <w:color w:val="000000"/>
                <w:sz w:val="24"/>
              </w:rPr>
              <w:t>软件变更管理：收集采购人的需求变更，并分析采购人的变更需求，分析需求的合理性、风险、影响范围、可行性等，通过规范化的变更管理流程进行管理和控制，以免变更可能产生负面的影响，避免因系统变更导致应用性能缓慢，避免因系统变更导致某些业务无法正常运行，避免因系统变更导致数据传输与交换工作无法正常进行。</w:t>
            </w:r>
          </w:p>
          <w:p>
            <w:pPr>
              <w:jc w:val="both"/>
            </w:pPr>
            <w:r>
              <w:rPr>
                <w:color w:val="000000"/>
                <w:sz w:val="24"/>
              </w:rPr>
              <w:t>12.8软件发布管理：</w:t>
            </w:r>
          </w:p>
          <w:p>
            <w:r>
              <w:rPr>
                <w:b/>
                <w:color w:val="000000"/>
                <w:sz w:val="24"/>
              </w:rPr>
              <w:t>12.8.1制定发布计划</w:t>
            </w:r>
          </w:p>
          <w:p>
            <w:pPr>
              <w:ind w:firstLine="480"/>
              <w:jc w:val="both"/>
            </w:pPr>
            <w:r>
              <w:rPr>
                <w:color w:val="000000"/>
                <w:sz w:val="24"/>
              </w:rPr>
              <w:t>按照已有的发布管理规范，制定发布计划，内容包括：发布范围、发布内容、发布时间进度安排、确定发布过程各项工作负责人员、明确培训以及沟通等需求、制定发布策略、制定回滚策略。</w:t>
            </w:r>
          </w:p>
          <w:p>
            <w:r>
              <w:rPr>
                <w:b/>
                <w:color w:val="000000"/>
                <w:sz w:val="24"/>
              </w:rPr>
              <w:t>12.8.2对发布包进行发布测试</w:t>
            </w:r>
          </w:p>
          <w:p>
            <w:pPr>
              <w:ind w:firstLine="480"/>
              <w:jc w:val="both"/>
            </w:pPr>
            <w:r>
              <w:rPr>
                <w:color w:val="000000"/>
                <w:sz w:val="24"/>
              </w:rPr>
              <w:t>测试内容主要包括：</w:t>
            </w:r>
          </w:p>
          <w:p>
            <w:r>
              <w:rPr>
                <w:color w:val="000000"/>
                <w:sz w:val="24"/>
              </w:rPr>
              <w:t>1.</w:t>
            </w:r>
            <w:r>
              <w:rPr>
                <w:color w:val="000000"/>
                <w:sz w:val="24"/>
              </w:rPr>
              <w:t>功能测试：符合采购人的功能需求；</w:t>
            </w:r>
          </w:p>
          <w:p>
            <w:r>
              <w:rPr>
                <w:color w:val="000000"/>
                <w:sz w:val="24"/>
              </w:rPr>
              <w:t>2.</w:t>
            </w:r>
            <w:r>
              <w:rPr>
                <w:color w:val="000000"/>
                <w:sz w:val="24"/>
              </w:rPr>
              <w:t>兼容性：能在多平台、多系统中运行；</w:t>
            </w:r>
          </w:p>
          <w:p>
            <w:r>
              <w:rPr>
                <w:color w:val="000000"/>
                <w:sz w:val="24"/>
              </w:rPr>
              <w:t>3.</w:t>
            </w:r>
            <w:r>
              <w:rPr>
                <w:color w:val="000000"/>
                <w:sz w:val="24"/>
              </w:rPr>
              <w:t>安装步骤：能按照安装操作手册的内容进行安装和配置；</w:t>
            </w:r>
          </w:p>
          <w:p>
            <w:r>
              <w:rPr>
                <w:color w:val="000000"/>
                <w:sz w:val="24"/>
              </w:rPr>
              <w:t>4.</w:t>
            </w:r>
            <w:r>
              <w:rPr>
                <w:color w:val="000000"/>
                <w:sz w:val="24"/>
              </w:rPr>
              <w:t>备份、恢复和重新启动过程：具备可靠的系统备份、恢复和重新启动机制；</w:t>
            </w:r>
          </w:p>
          <w:p>
            <w:r>
              <w:rPr>
                <w:color w:val="000000"/>
                <w:sz w:val="24"/>
              </w:rPr>
              <w:t>5.</w:t>
            </w:r>
            <w:r>
              <w:rPr>
                <w:color w:val="000000"/>
                <w:sz w:val="24"/>
              </w:rPr>
              <w:t>界面：界面友好并符合客户的需求；</w:t>
            </w:r>
          </w:p>
          <w:p>
            <w:r>
              <w:rPr>
                <w:color w:val="000000"/>
                <w:sz w:val="24"/>
              </w:rPr>
              <w:t>6.</w:t>
            </w:r>
            <w:r>
              <w:rPr>
                <w:color w:val="000000"/>
                <w:sz w:val="24"/>
              </w:rPr>
              <w:t>安全问题：防止非法访问，具备权限分配、工作权限设置机制；</w:t>
            </w:r>
          </w:p>
          <w:p>
            <w:r>
              <w:rPr>
                <w:color w:val="000000"/>
                <w:sz w:val="24"/>
              </w:rPr>
              <w:t>7.</w:t>
            </w:r>
            <w:r>
              <w:rPr>
                <w:color w:val="000000"/>
                <w:sz w:val="24"/>
              </w:rPr>
              <w:t>期望的性能：达到期望的指标要求（如响应时间、出错率等）；</w:t>
            </w:r>
          </w:p>
          <w:p>
            <w:r>
              <w:rPr>
                <w:color w:val="000000"/>
                <w:sz w:val="24"/>
              </w:rPr>
              <w:t>8.</w:t>
            </w:r>
            <w:r>
              <w:rPr>
                <w:color w:val="000000"/>
                <w:sz w:val="24"/>
              </w:rPr>
              <w:t>压力测试：能承受预定的最大数据负载或业务负载；</w:t>
            </w:r>
          </w:p>
          <w:p>
            <w:r>
              <w:rPr>
                <w:color w:val="000000"/>
                <w:sz w:val="24"/>
              </w:rPr>
              <w:t>9.</w:t>
            </w:r>
            <w:r>
              <w:rPr>
                <w:color w:val="000000"/>
                <w:sz w:val="24"/>
              </w:rPr>
              <w:t>系统接口测试：符合客户的接口要求。</w:t>
            </w:r>
          </w:p>
          <w:p>
            <w:r>
              <w:rPr>
                <w:color w:val="000000"/>
                <w:sz w:val="24"/>
              </w:rPr>
              <w:t>10.</w:t>
            </w:r>
            <w:r>
              <w:rPr>
                <w:color w:val="000000"/>
                <w:sz w:val="24"/>
              </w:rPr>
              <w:t>实施发布：若发布不成功，则分析失败原因，决定是否取消发布；若需取消发布，则进行恢复操作；发布成功后，记录发布过程。</w:t>
            </w:r>
          </w:p>
          <w:p>
            <w:pPr>
              <w:jc w:val="both"/>
            </w:pPr>
            <w:r>
              <w:rPr>
                <w:color w:val="000000"/>
                <w:sz w:val="24"/>
              </w:rPr>
              <w:t>12.9应用系统配置管理</w:t>
            </w:r>
          </w:p>
          <w:p>
            <w:pPr>
              <w:jc w:val="both"/>
            </w:pPr>
            <w:r>
              <w:rPr>
                <w:color w:val="000000"/>
                <w:sz w:val="24"/>
              </w:rPr>
              <w:t>理顺应用系统之间的关联关系，明确应用系统的部署情况（配置文件、内部接口、外部接口、同步服务、定时任务、程序文件、主机等），明确数据的生产者与使用者，明确接口的所有者与引用者。根据采购人需求完善一切与配置管理相关的工作。</w:t>
            </w:r>
          </w:p>
          <w:p>
            <w:pPr>
              <w:jc w:val="both"/>
            </w:pPr>
            <w:r>
              <w:rPr>
                <w:color w:val="000000"/>
                <w:sz w:val="24"/>
              </w:rPr>
              <w:t>根据采购人需要优化资源管理软件，并将配置信息载入资源管理软件。</w:t>
            </w:r>
          </w:p>
          <w:p>
            <w:pPr>
              <w:jc w:val="both"/>
            </w:pPr>
            <w:r>
              <w:rPr>
                <w:color w:val="000000"/>
                <w:sz w:val="24"/>
              </w:rPr>
              <w:t>12.10测试环境维护</w:t>
            </w:r>
          </w:p>
          <w:p>
            <w:pPr>
              <w:jc w:val="both"/>
            </w:pPr>
            <w:r>
              <w:rPr>
                <w:color w:val="000000"/>
                <w:sz w:val="24"/>
              </w:rPr>
              <w:t>按照采购人的要求搭建与应用系统生产环境相似的测试和培训环境，测试和培训环境的硬件环境由采购人提供。按照采购人的测试环境管理要求对测试过程中产生的数据和测试后不再使用的软件进行清理，对测试环境中产生的异常情况进行处理，保证后续测试工作的正常开展和测试系统的可持续使用。</w:t>
            </w:r>
          </w:p>
          <w:p>
            <w:pPr>
              <w:jc w:val="both"/>
            </w:pPr>
            <w:r>
              <w:rPr>
                <w:color w:val="000000"/>
                <w:sz w:val="24"/>
              </w:rPr>
              <w:t>12.11应用软件适应性维护服务</w:t>
            </w:r>
          </w:p>
          <w:p>
            <w:pPr>
              <w:jc w:val="both"/>
            </w:pPr>
            <w:r>
              <w:rPr>
                <w:color w:val="000000"/>
                <w:sz w:val="24"/>
              </w:rPr>
              <w:t>本项目中的适应性维护服务主要是对在维护的业务系统范围内涉及的已有模块或功能的适应性修改完善。</w:t>
            </w:r>
          </w:p>
          <w:p>
            <w:pPr>
              <w:ind w:firstLine="480"/>
              <w:jc w:val="both"/>
            </w:pPr>
            <w:r>
              <w:rPr>
                <w:color w:val="000000"/>
                <w:sz w:val="24"/>
              </w:rPr>
              <w:t>适应性修改完善的衡量标准：即若不对系统已有的模块或功能进行修改完善，就会导致原系统所承载的业务无法正常开展。从用例角度进行衡量，</w:t>
            </w:r>
            <w:r>
              <w:rPr>
                <w:color w:val="000000"/>
                <w:sz w:val="24"/>
              </w:rPr>
              <w:t>1、“用例”不变情况下的界面操作调整，2、“用例”主流程不变情况下的控制条件修订，3、在“用例”流程和控制条件不变情况下的输入输出调整。</w:t>
            </w:r>
          </w:p>
          <w:p>
            <w:pPr>
              <w:ind w:firstLine="480"/>
              <w:jc w:val="both"/>
            </w:pPr>
            <w:r>
              <w:rPr>
                <w:color w:val="000000"/>
                <w:sz w:val="24"/>
              </w:rPr>
              <w:t>系统已有模块或功能的适应性维护，必须按照采购人要求的时间内完成。已有模块或功能适应性修改的开发工作预算累计不超过</w:t>
            </w:r>
            <w:r>
              <w:rPr>
                <w:color w:val="000000"/>
                <w:sz w:val="24"/>
              </w:rPr>
              <w:t>2个人月，工作量评估按照实际实施时间和当地工资指导价平均标准进行计算。对适应性维护，需要提交维护计划与实施方案、需求概要设计、详细的开发文档、开发代码和使用手册等文档；经性能测试和兼容性测试通过，按照运维要求发布文档，确保软件版本的完整和准确，为后续的维护工作提供基础。</w:t>
            </w:r>
          </w:p>
          <w:p>
            <w:pPr>
              <w:ind w:firstLine="480"/>
              <w:jc w:val="both"/>
            </w:pPr>
            <w:r>
              <w:rPr>
                <w:color w:val="000000"/>
                <w:sz w:val="24"/>
              </w:rPr>
              <w:t>在项目实施过程，如对适应性维护或适应性修改完善范围的界定、服务完成时间存在分歧，由采购人和服务方视具体情况再行协商。适应性开发的时效，完成的内容符合性等，由采购人对升级改造纳入绩效考核，规范应用软件适应性维护服务管理。在进行应用软件适应性维护服务过程中</w:t>
            </w:r>
            <w:r>
              <w:rPr>
                <w:color w:val="000000"/>
                <w:sz w:val="24"/>
              </w:rPr>
              <w:t>,需要对应用软件适应性维护进行规范有效的管理,详细描述应用软件适应性维护的过程状态、处理结果，采购人满意度。</w:t>
            </w:r>
          </w:p>
          <w:p>
            <w:pPr>
              <w:ind w:firstLine="480"/>
              <w:jc w:val="both"/>
            </w:pPr>
            <w:r>
              <w:rPr>
                <w:color w:val="000000"/>
                <w:sz w:val="24"/>
              </w:rPr>
              <w:t>采购人提出应用软件适应性维护申请，详细描述应用软件维护内容；</w:t>
            </w:r>
          </w:p>
          <w:p>
            <w:pPr>
              <w:ind w:firstLine="480"/>
              <w:jc w:val="both"/>
            </w:pPr>
            <w:r>
              <w:rPr>
                <w:color w:val="000000"/>
                <w:sz w:val="24"/>
              </w:rPr>
              <w:t>运维服务商记录采购人适应性维护申请提出的日期、内容，并评估应用软件适应性维护完成时间、完成状态，反馈给采购人；</w:t>
            </w:r>
          </w:p>
          <w:p>
            <w:pPr>
              <w:ind w:firstLine="480"/>
              <w:jc w:val="both"/>
            </w:pPr>
            <w:r>
              <w:rPr>
                <w:color w:val="000000"/>
                <w:sz w:val="24"/>
              </w:rPr>
              <w:t>定期针对采购人提出的应用软件适应性维护申请进行跟踪，如每周一次，生成适应性维护服务报告，告知采购人应用软件适应性维护服务当前状态；</w:t>
            </w:r>
          </w:p>
          <w:p>
            <w:pPr>
              <w:ind w:firstLine="480"/>
              <w:jc w:val="both"/>
            </w:pPr>
            <w:r>
              <w:rPr>
                <w:color w:val="000000"/>
                <w:sz w:val="24"/>
              </w:rPr>
              <w:t>完成应用软件适应性维护后，填写总结报告，明确维护服务结束的时间、完成的内容等。对采购人提出的应用软件适应性维护服务实行责任制，每次采购人提出的应用软件适应性维护服务都必须对应有责任人，责任人负责对应用软件适应性维护服务处理情况进行跟踪，并将处理结果及时反馈给采购人。</w:t>
            </w:r>
          </w:p>
          <w:p>
            <w:pPr>
              <w:jc w:val="both"/>
            </w:pPr>
            <w:r>
              <w:rPr>
                <w:color w:val="000000"/>
                <w:sz w:val="24"/>
              </w:rPr>
              <w:t>12.12应用软件运维材料补充和整理</w:t>
            </w:r>
          </w:p>
          <w:p>
            <w:pPr>
              <w:jc w:val="both"/>
            </w:pPr>
            <w:r>
              <w:rPr>
                <w:color w:val="000000"/>
                <w:sz w:val="24"/>
              </w:rPr>
              <w:t>需提供本项目运维所涉及的应用软件的运维材料补充和整理，包括应用软件缺陷分析和修复、软件变更、发布管理等过程中产生的文档，如操作说明书、培训手册、需求说明等相关文档材料，材料完成必须经采购人确认。</w:t>
            </w:r>
          </w:p>
          <w:p>
            <w:pPr>
              <w:jc w:val="both"/>
            </w:pPr>
            <w:r>
              <w:rPr>
                <w:sz w:val="24"/>
              </w:rPr>
              <w:t>12.13合同期结束，运营商须保证维护投入设备，不拆走且工作状态正常，并与采购人完成交接，以确保我市该项均衡化考核指标正常达标。</w:t>
            </w:r>
          </w:p>
        </w:tc>
      </w:tr>
      <w:tr>
        <w:tc>
          <w:tcPr>
            <w:tcW w:type="dxa" w:w="2076"/>
          </w:tcPr>
          <w:p/>
        </w:tc>
        <w:tc>
          <w:tcPr>
            <w:tcW w:type="dxa" w:w="415"/>
          </w:tcPr>
          <w:p>
            <w:r>
              <w:rPr/>
              <w:t>13</w:t>
            </w:r>
          </w:p>
        </w:tc>
        <w:tc>
          <w:tcPr>
            <w:tcW w:type="dxa" w:w="5814"/>
          </w:tcPr>
          <w:p>
            <w:pPr>
              <w:jc w:val="both"/>
            </w:pPr>
            <w:r>
              <w:rPr>
                <w:color w:val="000000"/>
                <w:sz w:val="24"/>
              </w:rPr>
              <w:t>十三、</w:t>
            </w:r>
            <w:r>
              <w:rPr>
                <w:color w:val="000000"/>
                <w:sz w:val="24"/>
              </w:rPr>
              <w:t>人员要求和工作职责内容</w:t>
            </w:r>
          </w:p>
          <w:p>
            <w:pPr>
              <w:jc w:val="both"/>
            </w:pPr>
            <w:r>
              <w:rPr>
                <w:color w:val="000000"/>
                <w:sz w:val="24"/>
              </w:rPr>
              <w:t>13.1. 人数要求：</w:t>
            </w:r>
            <w:r>
              <w:rPr>
                <w:sz w:val="24"/>
              </w:rPr>
              <w:t>运维服务人员不少于3人</w:t>
            </w:r>
            <w:r>
              <w:rPr>
                <w:sz w:val="24"/>
              </w:rPr>
              <w:t>（派驻云浮市内）</w:t>
            </w:r>
            <w:r>
              <w:rPr>
                <w:sz w:val="24"/>
              </w:rPr>
              <w:t>。</w:t>
            </w:r>
          </w:p>
          <w:p>
            <w:pPr>
              <w:jc w:val="both"/>
            </w:pPr>
            <w:r>
              <w:rPr>
                <w:color w:val="000000"/>
                <w:sz w:val="24"/>
              </w:rPr>
              <w:t>13.2. 人员资质要求：运维服务人员最低资质要求为具备初级网管或初级软硬件维护员（普通工程师）资质，有二年以上专业工作经验至少一个同类项目实施经验。至少有1人具备中级网管或软件工程师（中级工程师）资质，有三年以上专业工作经验至少三个同类项目实施及管理经验。</w:t>
            </w:r>
          </w:p>
          <w:p>
            <w:pPr>
              <w:jc w:val="both"/>
            </w:pPr>
            <w:r>
              <w:rPr>
                <w:color w:val="000000"/>
                <w:sz w:val="24"/>
              </w:rPr>
              <w:t>13.3.项目服务人员的主要职责如下：</w:t>
            </w:r>
          </w:p>
          <w:p>
            <w:pPr>
              <w:ind w:firstLine="482"/>
              <w:jc w:val="both"/>
            </w:pPr>
            <w:r>
              <w:rPr>
                <w:b/>
                <w:color w:val="000000"/>
                <w:sz w:val="24"/>
              </w:rPr>
              <w:t>13.3.1.项目服务人员的主要职责如下：</w:t>
            </w:r>
          </w:p>
          <w:p>
            <w:r>
              <w:rPr>
                <w:color w:val="000000"/>
                <w:sz w:val="24"/>
              </w:rPr>
              <w:t>1.</w:t>
            </w:r>
            <w:r>
              <w:rPr>
                <w:color w:val="000000"/>
                <w:sz w:val="24"/>
              </w:rPr>
              <w:t>负责对业务应用软件相关的申报事件进行处理和解决。</w:t>
            </w:r>
          </w:p>
          <w:p>
            <w:r>
              <w:rPr>
                <w:color w:val="000000"/>
                <w:sz w:val="24"/>
              </w:rPr>
              <w:t>2.</w:t>
            </w:r>
            <w:r>
              <w:rPr>
                <w:color w:val="000000"/>
                <w:sz w:val="24"/>
              </w:rPr>
              <w:t>负责运维的业务应用系统提供日常性能和运行状况监控，对故障进行分析处理及建立完善预警机制。</w:t>
            </w:r>
          </w:p>
          <w:p>
            <w:r>
              <w:rPr>
                <w:color w:val="000000"/>
                <w:sz w:val="24"/>
              </w:rPr>
              <w:t>3.</w:t>
            </w:r>
            <w:r>
              <w:rPr>
                <w:color w:val="000000"/>
                <w:sz w:val="24"/>
              </w:rPr>
              <w:t>负责对在运维的应用软件数据维护、软件缺陷分析、变更、发布、运行环境配置等管理。按相应运维规定申报审批和处理。</w:t>
            </w:r>
          </w:p>
          <w:p>
            <w:r>
              <w:rPr>
                <w:color w:val="000000"/>
                <w:sz w:val="24"/>
              </w:rPr>
              <w:t>4.</w:t>
            </w:r>
            <w:r>
              <w:rPr>
                <w:color w:val="000000"/>
                <w:sz w:val="24"/>
              </w:rPr>
              <w:t>负责保障已在运维的应用系统安全管理，遵循采购人的安全保障管理要求。</w:t>
            </w:r>
          </w:p>
          <w:p>
            <w:r>
              <w:rPr>
                <w:color w:val="000000"/>
                <w:sz w:val="24"/>
              </w:rPr>
              <w:t>5.</w:t>
            </w:r>
            <w:r>
              <w:rPr>
                <w:color w:val="000000"/>
                <w:sz w:val="24"/>
              </w:rPr>
              <w:t>接受服务台对业务应用软件维护事件的督办、检查，协助服务台完成对采购人意见进行回访和事件统计、分析。对服务过程和反馈的意见进行改进，同时接受服务台的绩效考评工作。</w:t>
            </w:r>
          </w:p>
          <w:p>
            <w:r>
              <w:rPr>
                <w:color w:val="000000"/>
                <w:sz w:val="24"/>
              </w:rPr>
              <w:t>6.</w:t>
            </w:r>
            <w:r>
              <w:rPr>
                <w:color w:val="000000"/>
                <w:sz w:val="24"/>
              </w:rPr>
              <w:t>及时提供对已纳入运维服务管理的应用软件运行和问题处理情况，并向服务台报告，并按周、月提交运维服务工作进度总结和计划。</w:t>
            </w:r>
          </w:p>
          <w:p>
            <w:r>
              <w:rPr>
                <w:color w:val="000000"/>
                <w:sz w:val="24"/>
              </w:rPr>
              <w:t>7.</w:t>
            </w:r>
            <w:r>
              <w:rPr>
                <w:color w:val="000000"/>
                <w:sz w:val="24"/>
              </w:rPr>
              <w:t>负责整理和归纳运维软件日常维护知识库，提交至运维服务平台中。</w:t>
            </w:r>
          </w:p>
          <w:p>
            <w:r>
              <w:rPr>
                <w:color w:val="000000"/>
                <w:sz w:val="24"/>
              </w:rPr>
              <w:t>8.</w:t>
            </w:r>
            <w:r>
              <w:rPr>
                <w:color w:val="000000"/>
                <w:sz w:val="24"/>
              </w:rPr>
              <w:t>负责整理和提交已在运维软件的运维过程资料和相关配套维护文档，协助采购人完成对运维系统的补丁和升级开发。</w:t>
            </w:r>
          </w:p>
          <w:p>
            <w:r>
              <w:rPr>
                <w:color w:val="000000"/>
                <w:sz w:val="24"/>
              </w:rPr>
              <w:t>9.</w:t>
            </w:r>
            <w:r>
              <w:rPr>
                <w:color w:val="000000"/>
                <w:sz w:val="24"/>
              </w:rPr>
              <w:t>非驻场人员可以作为常驻人员的一个有机补充，能够给予驻场工程师技术支持和人力支持。</w:t>
            </w:r>
          </w:p>
          <w:p>
            <w:pPr>
              <w:ind w:firstLine="482"/>
              <w:jc w:val="both"/>
            </w:pPr>
            <w:r>
              <w:rPr>
                <w:b/>
                <w:color w:val="000000"/>
                <w:sz w:val="24"/>
              </w:rPr>
              <w:t>13.3.2.项目驻场维护人员主要工作内容如下：</w:t>
            </w:r>
          </w:p>
          <w:p>
            <w:r>
              <w:rPr>
                <w:color w:val="000000"/>
                <w:sz w:val="24"/>
              </w:rPr>
              <w:t>1.</w:t>
            </w:r>
            <w:r>
              <w:rPr>
                <w:color w:val="000000"/>
                <w:sz w:val="24"/>
              </w:rPr>
              <w:t>7*24小时对业务应用软件相关的申报事件进行处理和解决。</w:t>
            </w:r>
          </w:p>
          <w:p>
            <w:r>
              <w:rPr>
                <w:color w:val="000000"/>
                <w:sz w:val="24"/>
              </w:rPr>
              <w:t>2.</w:t>
            </w:r>
            <w:r>
              <w:rPr>
                <w:color w:val="000000"/>
                <w:sz w:val="24"/>
              </w:rPr>
              <w:t>每天对业务软件运行环境所属主机、操作系统、中间件、数据库、网络、应用软件等资源使用情况及运行状况进行监控，记录异常事件，并配合主机、操作系统、中间件、数据库、网络完成运行日志分析。每周提供单个系统的运行小结报告和问题分析。</w:t>
            </w:r>
          </w:p>
          <w:p>
            <w:r>
              <w:rPr>
                <w:color w:val="000000"/>
                <w:sz w:val="24"/>
              </w:rPr>
              <w:t>3.</w:t>
            </w:r>
            <w:r>
              <w:rPr>
                <w:color w:val="000000"/>
                <w:sz w:val="24"/>
              </w:rPr>
              <w:t>每月对同类或相似事件累计单数超过</w:t>
            </w:r>
            <w:r>
              <w:rPr>
                <w:color w:val="000000"/>
                <w:sz w:val="24"/>
              </w:rPr>
              <w:t>5单的，提供处理报告，内容包括故障现象、处理过程、影响情况、原因分析、分析说明、应急方案、处理对策等。</w:t>
            </w:r>
          </w:p>
          <w:p>
            <w:r>
              <w:rPr>
                <w:color w:val="000000"/>
                <w:sz w:val="24"/>
              </w:rPr>
              <w:t>4.</w:t>
            </w:r>
            <w:r>
              <w:rPr>
                <w:color w:val="000000"/>
                <w:sz w:val="24"/>
              </w:rPr>
              <w:t>遵守采购人的发布管理规定和安全管理规则，对应用系统的补丁进行发布。</w:t>
            </w:r>
          </w:p>
          <w:p>
            <w:r>
              <w:rPr>
                <w:color w:val="000000"/>
                <w:sz w:val="24"/>
              </w:rPr>
              <w:t>5.</w:t>
            </w:r>
            <w:r>
              <w:rPr>
                <w:color w:val="000000"/>
                <w:sz w:val="24"/>
              </w:rPr>
              <w:t>遵守应用系统维护流程，在相关部门和信息中心审核通过后，对应用数据实施增、查、删、改等工作。</w:t>
            </w:r>
          </w:p>
          <w:p>
            <w:r>
              <w:rPr>
                <w:color w:val="000000"/>
                <w:sz w:val="24"/>
              </w:rPr>
              <w:t>6.</w:t>
            </w:r>
            <w:r>
              <w:rPr>
                <w:color w:val="000000"/>
                <w:sz w:val="24"/>
              </w:rPr>
              <w:t>对应用软件进行数据维护、软件缺陷分析、变更、发布、运行环境配置等管理，按相应运维规定申报审批和处理。</w:t>
            </w:r>
          </w:p>
          <w:p>
            <w:r>
              <w:rPr>
                <w:color w:val="000000"/>
                <w:sz w:val="24"/>
              </w:rPr>
              <w:t>7.</w:t>
            </w:r>
            <w:r>
              <w:rPr>
                <w:color w:val="000000"/>
                <w:sz w:val="24"/>
              </w:rPr>
              <w:t>认真核对服务单的申请是否合理，操作错误引起的报障，如需通过后台数据修改解决必须经过业务处室审批。</w:t>
            </w:r>
          </w:p>
          <w:p>
            <w:r>
              <w:rPr>
                <w:color w:val="000000"/>
                <w:sz w:val="24"/>
              </w:rPr>
              <w:t>8.</w:t>
            </w:r>
            <w:r>
              <w:rPr>
                <w:color w:val="000000"/>
                <w:sz w:val="24"/>
              </w:rPr>
              <w:t>进行后台数据修改时，必须记录服务单号和</w:t>
            </w:r>
            <w:r>
              <w:rPr>
                <w:color w:val="000000"/>
                <w:sz w:val="24"/>
              </w:rPr>
              <w:t>SQL语句，以备翻查。</w:t>
            </w:r>
          </w:p>
          <w:p>
            <w:r>
              <w:rPr>
                <w:color w:val="000000"/>
                <w:sz w:val="24"/>
              </w:rPr>
              <w:t>9.</w:t>
            </w:r>
            <w:r>
              <w:rPr>
                <w:color w:val="000000"/>
                <w:sz w:val="24"/>
              </w:rPr>
              <w:t>执行后台数据修改的</w:t>
            </w:r>
            <w:r>
              <w:rPr>
                <w:color w:val="000000"/>
                <w:sz w:val="24"/>
              </w:rPr>
              <w:t>SQL语句前，必须检查修改的记录数量，字段修改前的值，如果需要批量调整数据，必须将调整前的数据备份导出。</w:t>
            </w:r>
          </w:p>
          <w:p>
            <w:r>
              <w:rPr>
                <w:color w:val="000000"/>
                <w:sz w:val="24"/>
              </w:rPr>
              <w:t>10.</w:t>
            </w:r>
            <w:r>
              <w:rPr>
                <w:color w:val="000000"/>
                <w:sz w:val="24"/>
              </w:rPr>
              <w:t>接受服务台对业务应用软件维护事件的督办、检查，协助服务台完成对采购人意见进行回访和事件统计、分析。对服务过程和反馈的意见进行改进，同时接受服务台的绩效考评工作。</w:t>
            </w:r>
          </w:p>
          <w:p>
            <w:r>
              <w:rPr>
                <w:color w:val="000000"/>
                <w:sz w:val="24"/>
              </w:rPr>
              <w:t>11.</w:t>
            </w:r>
            <w:r>
              <w:rPr>
                <w:color w:val="000000"/>
                <w:sz w:val="24"/>
              </w:rPr>
              <w:t>建立知识库，按月整理和归纳日常运维软件维护知识，负责将知识信息录入运维服务平台，接受服务台的检查。</w:t>
            </w:r>
          </w:p>
          <w:p>
            <w:r>
              <w:rPr>
                <w:color w:val="000000"/>
                <w:sz w:val="24"/>
              </w:rPr>
              <w:t>12.</w:t>
            </w:r>
            <w:r>
              <w:rPr>
                <w:color w:val="000000"/>
                <w:sz w:val="24"/>
              </w:rPr>
              <w:t>规范运维管理文档，整理应用系统运维过程资料和相关配套维护文档，整理各应用系统之间的关联关系，完善部署信息文档，包括配置文件，数据内部接口、外部接口、数据同步关系、程序文件等。注：在每一次发布和问题改进过程中都必须提交。</w:t>
            </w:r>
          </w:p>
          <w:p>
            <w:r>
              <w:rPr>
                <w:color w:val="000000"/>
                <w:sz w:val="24"/>
              </w:rPr>
              <w:t>13.</w:t>
            </w:r>
            <w:r>
              <w:rPr>
                <w:color w:val="000000"/>
                <w:sz w:val="24"/>
              </w:rPr>
              <w:t>及时提供对应用软件运行和问题处理情况，并向服务台负责，并按周、月提交运维服务工作进度总结和计划。</w:t>
            </w:r>
          </w:p>
          <w:p>
            <w:r>
              <w:rPr>
                <w:color w:val="000000"/>
                <w:sz w:val="24"/>
              </w:rPr>
              <w:t>14.</w:t>
            </w:r>
            <w:r>
              <w:rPr>
                <w:color w:val="000000"/>
                <w:sz w:val="24"/>
              </w:rPr>
              <w:t>按照合同规定项目进度，提交项目阶段性验收文档。</w:t>
            </w:r>
          </w:p>
          <w:p>
            <w:pPr>
              <w:ind w:firstLine="482"/>
              <w:jc w:val="both"/>
            </w:pPr>
            <w:r>
              <w:rPr>
                <w:b/>
                <w:color w:val="000000"/>
                <w:sz w:val="24"/>
              </w:rPr>
              <w:t>13.3.3.项目非驻场维护人员主要工作内容如下：</w:t>
            </w:r>
          </w:p>
          <w:p>
            <w:r>
              <w:rPr>
                <w:color w:val="000000"/>
                <w:sz w:val="24"/>
              </w:rPr>
              <w:t>1.</w:t>
            </w:r>
            <w:r>
              <w:rPr>
                <w:color w:val="000000"/>
                <w:sz w:val="24"/>
              </w:rPr>
              <w:t>提供应急服务，当出现紧急故障，导致系统无法工作，业务停止运行的情况下，而且现场维护人员（驻场工程师）无法解决时，要求二线技术人员提供</w:t>
            </w:r>
            <w:r>
              <w:rPr>
                <w:color w:val="000000"/>
                <w:sz w:val="24"/>
              </w:rPr>
              <w:t>7*24小时的应急响应现场技术支持服务，在2-4小时内到达故障现场处理故障，确保在故障出现的时候能够按照要求的响应快速反应解决问题，使骨干系统恢复正常工作。</w:t>
            </w:r>
          </w:p>
          <w:p>
            <w:r>
              <w:rPr>
                <w:color w:val="000000"/>
                <w:sz w:val="24"/>
              </w:rPr>
              <w:t>2.</w:t>
            </w:r>
            <w:r>
              <w:rPr>
                <w:color w:val="000000"/>
                <w:sz w:val="24"/>
              </w:rPr>
              <w:t>提供数据库备份服务，根据采购人需求做好数据库备份工作。</w:t>
            </w:r>
          </w:p>
          <w:p>
            <w:r>
              <w:rPr>
                <w:color w:val="000000"/>
                <w:sz w:val="24"/>
              </w:rPr>
              <w:t>3.</w:t>
            </w:r>
            <w:r>
              <w:rPr>
                <w:color w:val="000000"/>
                <w:sz w:val="24"/>
              </w:rPr>
              <w:t>提供应用系统数据迁移服务，根据采购人要求做好应用系统数据迁移工作。</w:t>
            </w:r>
          </w:p>
          <w:p>
            <w:pPr>
              <w:jc w:val="both"/>
            </w:pPr>
            <w:r>
              <w:rPr>
                <w:color w:val="000000"/>
                <w:sz w:val="24"/>
              </w:rPr>
              <w:t xml:space="preserve">   4.</w:t>
            </w:r>
            <w:r>
              <w:rPr>
                <w:color w:val="000000"/>
                <w:sz w:val="24"/>
              </w:rPr>
              <w:t>提供应用系统适应性维护服务，按照采购人要求的时间内完成已有模块或功能适应性修改的开发工作等。</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1.采购代理机构：本项目是指云浮市国御招标代理有限公司，负责整个采购活动的组织，依法负责编制和发布磋商文件，对磋商文件拥有最终的解释权，不以任何身份出任磋商小组成员。</w:t>
      </w:r>
    </w:p>
    <w:p>
      <w:pPr>
        <w:ind w:firstLine="480"/>
      </w:pPr>
      <w:r>
        <w:rPr/>
        <w:t>2.采购人：本项目是指</w:t>
      </w:r>
      <w:r>
        <w:rPr/>
        <w:t>云浮市人民政府行政服务中心</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现场电子开标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采购人授权磋商小组按照评审原则直接确定中标（成交）人。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采购机构代理服务收费标准：中标（成交）供应商向采购代理机构缴纳招标代理服务费：人民币贰万贰仟壹佰伍拾叁元。 收款单位名称：云浮市国御招标代理有限公司 账号：4405 0182 7138 0000 0261 开户银行：中国建设银行股份有限公司云浮兴云西分理处</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pPr>
              <w:ind w:firstLine="480"/>
            </w:pPr>
            <w:r>
              <w:rPr>
                <w:b/>
              </w:rPr>
              <w:t>一、电子响应文件（必须提供）：</w:t>
            </w:r>
          </w:p>
          <w:p>
            <w:pPr>
              <w:ind w:firstLine="480"/>
            </w:pPr>
            <w:r>
              <w:rPr/>
              <w:t>（1）加密的电子响应文件 1 份（需在递交响应文件截止时间前成功上传至云平台项目采购系统）。</w:t>
            </w:r>
          </w:p>
          <w:p>
            <w:pPr>
              <w:ind w:firstLine="480"/>
            </w:pPr>
            <w:r>
              <w:rPr/>
              <w:t>（2）非加密电子版文件 U 盘(或光盘)</w:t>
            </w:r>
            <w:r>
              <w:rPr/>
              <w:t>1</w:t>
            </w:r>
            <w:r>
              <w:rPr/>
              <w:t>份，加密的电子响应文件与非加密的电子响应文件必须完全一致。</w:t>
            </w:r>
          </w:p>
          <w:p>
            <w:pPr>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ind w:firstLine="480"/>
            </w:pPr>
            <w:r>
              <w:rPr>
                <w:b/>
              </w:rPr>
              <w:t>二、纸质投标文件（代理机构自行选择）：</w:t>
            </w:r>
            <w:r>
              <w:rPr/>
              <w:t>（3）纸质投标文件正本1份，纸质投标文件副本2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jc w:val="center"/>
            </w:pPr>
            <w:r>
              <w:rPr/>
              <w:t>18</w:t>
            </w:r>
          </w:p>
        </w:tc>
        <w:tc>
          <w:tcPr>
            <w:tcW w:type="dxa" w:w="2252"/>
          </w:tcPr>
          <w:p>
            <w:r>
              <w:rPr/>
              <w:t>其他</w:t>
            </w:r>
          </w:p>
        </w:tc>
        <w:tc>
          <w:tcPr>
            <w:tcW w:type="dxa" w:w="5004"/>
          </w:tcPr>
          <w:p>
            <w:pPr>
              <w:jc w:val="left"/>
            </w:pPr>
            <w:r>
              <w:rPr/>
              <w:t>接收纸质投标文件时间，投标截止时间前三十分钟内</w:t>
            </w:r>
          </w:p>
        </w:tc>
      </w:tr>
      <w:tr>
        <w:tc>
          <w:tcPr>
            <w:tcW w:type="dxa" w:w="1051"/>
          </w:tcPr>
          <w:p>
            <w:pPr>
              <w:jc w:val="center"/>
            </w:pPr>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云浮市国御招标代理有限公司</w:t>
      </w:r>
      <w:r>
        <w:rPr/>
        <w:t>代收。具体操作要求详见</w:t>
      </w:r>
      <w:r>
        <w:rPr/>
        <w:t>云浮市国御招标代理有限公司</w:t>
      </w:r>
      <w:r>
        <w:rPr/>
        <w:t>有关指引，递交事宜请自行咨询</w:t>
      </w:r>
      <w:r>
        <w:rPr/>
        <w:t>云浮市国御招标代理有限公司</w:t>
      </w:r>
      <w:r>
        <w:rPr/>
        <w:t>；请各供应商在响应文件递交截止时间前按须知前附表规定的金额递交至</w:t>
      </w:r>
      <w:r>
        <w:rPr/>
        <w:t>云浮市国御招标代理有限公司</w:t>
      </w:r>
      <w:r>
        <w:rPr/>
        <w:t>，到账情况以开启时</w:t>
      </w:r>
      <w:r>
        <w:rPr/>
        <w:t>云浮市国御招标代理有限公司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w:t>
      </w:r>
      <w:r>
        <w:rPr/>
        <w:t>www.yfgyzb.com</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w:t>
      </w:r>
      <w:r>
        <w:rPr/>
        <w:t>www.yfgyzb.com</w:t>
      </w:r>
      <w:r>
        <w:rPr/>
        <w:t>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罗小姐</w:t>
      </w:r>
    </w:p>
    <w:p>
      <w:pPr>
        <w:ind w:firstLine="480"/>
      </w:pPr>
      <w:r>
        <w:rPr/>
        <w:t>电话：</w:t>
      </w:r>
      <w:r>
        <w:rPr/>
        <w:t>0766-8108331</w:t>
      </w:r>
    </w:p>
    <w:p>
      <w:pPr>
        <w:ind w:firstLine="480"/>
      </w:pPr>
      <w:r>
        <w:rPr/>
        <w:t>传真：</w:t>
      </w:r>
      <w:r>
        <w:rPr/>
        <w:t>/</w:t>
      </w:r>
    </w:p>
    <w:p>
      <w:pPr>
        <w:ind w:firstLine="480"/>
      </w:pPr>
      <w:r>
        <w:rPr/>
        <w:t>邮箱：</w:t>
      </w:r>
      <w:r>
        <w:rPr/>
        <w:t>guoyu8108331@163.com</w:t>
      </w:r>
    </w:p>
    <w:p>
      <w:pPr>
        <w:ind w:firstLine="480"/>
      </w:pPr>
      <w:r>
        <w:rPr/>
        <w:t>地址：</w:t>
      </w:r>
      <w:r>
        <w:rPr/>
        <w:t>云浮市市区金山大道130号三楼</w:t>
      </w:r>
    </w:p>
    <w:p>
      <w:pPr>
        <w:ind w:firstLine="480"/>
      </w:pPr>
      <w:r>
        <w:rPr/>
        <w:t>邮编：</w:t>
      </w:r>
      <w:r>
        <w:rPr/>
        <w:t>527300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政府采购监督管理机构名称：云浮市财政局政府采购监管科</w:t>
      </w:r>
    </w:p>
    <w:p>
      <w:r>
        <w:rPr/>
        <w:t>地  址：广东省云浮市云城区金山路82号</w:t>
      </w:r>
    </w:p>
    <w:p>
      <w:r>
        <w:rPr/>
        <w:t>电  话：0766-8331955</w:t>
      </w:r>
    </w:p>
    <w:p>
      <w:r>
        <w:rPr/>
        <w:t>邮  编：527500</w:t>
      </w:r>
    </w:p>
    <w:p>
      <w:r>
        <w:rPr/>
        <w:t>传  真：-</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云浮市政务服务大厅窗口统一办事呼叫、评价设备购买和运维（2023-2024年）项目)：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云浮市国御招标代理有限公司</w:t>
      </w:r>
      <w:r>
        <w:rPr/>
        <w:t>统一对外发布。</w:t>
      </w:r>
    </w:p>
    <w:p>
      <w:pPr>
        <w:ind w:firstLine="480"/>
      </w:pPr>
      <w:r>
        <w:rPr/>
        <w:t>（2）对</w:t>
      </w:r>
      <w:r>
        <w:rPr/>
        <w:t>云浮市国御招标代理有限公司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采购包1（云浮市政务服务大厅窗口统一办事呼叫、评价设备购买和运维（2023-2024年）项目）：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采购包1（云浮市政务服务大厅窗口统一办事呼叫、评价设备购买和运维（2023-2024年）项目）：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提供《资格承诺函》，格式自拟</w:t>
            </w:r>
          </w:p>
        </w:tc>
      </w:tr>
      <w:tr>
        <w:tc>
          <w:tcPr>
            <w:tcW w:type="dxa" w:w="890"/>
          </w:tcPr>
          <w:p>
            <w:r>
              <w:rPr/>
              <w:t>3</w:t>
            </w:r>
          </w:p>
        </w:tc>
        <w:tc>
          <w:tcPr>
            <w:tcW w:type="dxa" w:w="3178"/>
          </w:tcPr>
          <w:p>
            <w:r>
              <w:rPr/>
              <w:t>具有良好的商业信誉和健全的财务会计制度</w:t>
            </w:r>
          </w:p>
        </w:tc>
        <w:tc>
          <w:tcPr>
            <w:tcW w:type="dxa" w:w="4238"/>
          </w:tcPr>
          <w:p>
            <w:r>
              <w:rPr/>
              <w:t>提供《资格承诺函》，格式自拟</w:t>
            </w:r>
          </w:p>
        </w:tc>
      </w:tr>
      <w:tr>
        <w:tc>
          <w:tcPr>
            <w:tcW w:type="dxa" w:w="890"/>
          </w:tcPr>
          <w:p>
            <w:r>
              <w:rPr/>
              <w:t>4</w:t>
            </w:r>
          </w:p>
        </w:tc>
        <w:tc>
          <w:tcPr>
            <w:tcW w:type="dxa" w:w="3178"/>
          </w:tcPr>
          <w:p>
            <w:r>
              <w:rPr/>
              <w:t>履行合同所必需的设备和专业技术能力</w:t>
            </w:r>
          </w:p>
        </w:tc>
        <w:tc>
          <w:tcPr>
            <w:tcW w:type="dxa" w:w="4238"/>
          </w:tcPr>
          <w:p>
            <w:r>
              <w:rPr/>
              <w:t>提供《资格承诺函》，格式自拟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r>
              <w:rPr/>
              <w:t>8</w:t>
            </w:r>
          </w:p>
        </w:tc>
        <w:tc>
          <w:tcPr>
            <w:tcW w:type="dxa" w:w="3178"/>
          </w:tcPr>
          <w:p>
            <w:r>
              <w:rPr/>
              <w:t>其他要求</w:t>
            </w:r>
          </w:p>
        </w:tc>
        <w:tc>
          <w:tcPr>
            <w:tcW w:type="dxa" w:w="4238"/>
          </w:tcPr>
          <w:p>
            <w:r>
              <w:rPr/>
              <w:t>本项目不接受联合体投标</w:t>
            </w:r>
          </w:p>
        </w:tc>
      </w:tr>
      <w:tr>
        <w:tc>
          <w:tcPr>
            <w:tcW w:type="dxa" w:w="890"/>
          </w:tcPr>
          <w:p>
            <w:r>
              <w:rPr/>
              <w:t>9</w:t>
            </w:r>
          </w:p>
        </w:tc>
        <w:tc>
          <w:tcPr>
            <w:tcW w:type="dxa" w:w="3178"/>
          </w:tcPr>
          <w:p>
            <w:r>
              <w:rPr/>
              <w:t>本采购包专门面向中小企业采购</w:t>
            </w:r>
          </w:p>
        </w:tc>
        <w:tc>
          <w:tcPr>
            <w:tcW w:type="dxa" w:w="4238"/>
          </w:tcPr>
          <w:p>
            <w:r>
              <w:rPr/>
              <w:t>本项目属于专门面向中小企业采购的项目。</w:t>
            </w:r>
          </w:p>
        </w:tc>
      </w:tr>
      <w:tr>
        <w:tc>
          <w:tcPr>
            <w:tcW w:type="dxa" w:w="890"/>
          </w:tcPr>
          <w:p>
            <w:r>
              <w:rPr/>
              <w:t>10</w:t>
            </w:r>
          </w:p>
        </w:tc>
        <w:tc>
          <w:tcPr>
            <w:tcW w:type="dxa" w:w="3178"/>
          </w:tcPr>
          <w:p>
            <w:r>
              <w:rPr/>
              <w:t>本项目的企业划分标准所属行业为：</w:t>
            </w:r>
          </w:p>
        </w:tc>
        <w:tc>
          <w:tcPr>
            <w:tcW w:type="dxa" w:w="4238"/>
          </w:tcPr>
          <w:p>
            <w:r>
              <w:rPr/>
              <w:t>软件和信息技术服务业。</w:t>
            </w:r>
          </w:p>
        </w:tc>
      </w:tr>
    </w:tbl>
    <w:p/>
    <w:p>
      <w:pPr>
        <w:ind w:firstLine="480"/>
      </w:pPr>
      <w:r>
        <w:rPr/>
        <w:t>表二符合性审查表：</w:t>
      </w:r>
    </w:p>
    <w:p>
      <w:pPr>
        <w:ind w:firstLine="480"/>
      </w:pPr>
    </w:p>
    <w:p/>
    <w:p>
      <w:r>
        <w:rPr/>
        <w:t>采购包1（云浮市政务服务大厅窗口统一办事呼叫、评价设备购买和运维（2023-2024年）项目）：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响应文件的签署和盖章及法定代表人授权书</w:t>
            </w:r>
          </w:p>
        </w:tc>
        <w:tc>
          <w:tcPr>
            <w:tcW w:type="dxa" w:w="4238"/>
          </w:tcPr>
          <w:p>
            <w:r>
              <w:rPr/>
              <w:t>按照磋商文件规定要求签署、盖章且响应文件有法定代表人签字或盖章，或签字人有法定代表人有效授权书的；</w:t>
            </w:r>
          </w:p>
        </w:tc>
      </w:tr>
      <w:tr>
        <w:tc>
          <w:tcPr>
            <w:tcW w:type="dxa" w:w="890"/>
          </w:tcPr>
          <w:p>
            <w:r>
              <w:rPr/>
              <w:t>2</w:t>
            </w:r>
          </w:p>
        </w:tc>
        <w:tc>
          <w:tcPr>
            <w:tcW w:type="dxa" w:w="3178"/>
          </w:tcPr>
          <w:p>
            <w:r>
              <w:rPr/>
              <w:t>响应承诺函、投标有效期</w:t>
            </w:r>
          </w:p>
        </w:tc>
        <w:tc>
          <w:tcPr>
            <w:tcW w:type="dxa" w:w="4238"/>
          </w:tcPr>
          <w:p>
            <w:r>
              <w:rPr/>
              <w:t>响应承诺函已提交并符合磋商文件要求的，且投标有效期不少于磋商文件中载明的投标有效期。</w:t>
            </w:r>
          </w:p>
        </w:tc>
      </w:tr>
      <w:tr>
        <w:tc>
          <w:tcPr>
            <w:tcW w:type="dxa" w:w="890"/>
          </w:tcPr>
          <w:p>
            <w:r>
              <w:rPr/>
              <w:t>3</w:t>
            </w:r>
          </w:p>
        </w:tc>
        <w:tc>
          <w:tcPr>
            <w:tcW w:type="dxa" w:w="3178"/>
          </w:tcPr>
          <w:p>
            <w:r>
              <w:rPr/>
              <w:t>报价要求</w:t>
            </w:r>
          </w:p>
        </w:tc>
        <w:tc>
          <w:tcPr>
            <w:tcW w:type="dxa" w:w="4238"/>
          </w:tcPr>
          <w:p>
            <w:r>
              <w:rPr/>
              <w:t>（1）首次投标报价未超过本项目最高限价的； （2）如有，对磋商小组按照磋商文件规定修正后的磋商报价，供应商按规定书面确认；  （3）如磋商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标的提供的时间</w:t>
            </w:r>
          </w:p>
        </w:tc>
        <w:tc>
          <w:tcPr>
            <w:tcW w:type="dxa" w:w="4238"/>
          </w:tcPr>
          <w:p>
            <w:r>
              <w:rPr/>
              <w:t>自合同签订之日起90个自然日内完成。</w:t>
            </w:r>
          </w:p>
        </w:tc>
      </w:tr>
      <w:tr>
        <w:tc>
          <w:tcPr>
            <w:tcW w:type="dxa" w:w="890"/>
          </w:tcPr>
          <w:p>
            <w:r>
              <w:rPr/>
              <w:t>5</w:t>
            </w:r>
          </w:p>
        </w:tc>
        <w:tc>
          <w:tcPr>
            <w:tcW w:type="dxa" w:w="3178"/>
          </w:tcPr>
          <w:p>
            <w:r>
              <w:rPr/>
              <w:t>其他无效投标情形</w:t>
            </w:r>
          </w:p>
        </w:tc>
        <w:tc>
          <w:tcPr>
            <w:tcW w:type="dxa" w:w="4238"/>
          </w:tcPr>
          <w:p>
            <w:r>
              <w:rPr/>
              <w:t>（1）评审期间，供应商没有按磋商小组的要求提交有效的澄清、说明、补正，或提交的澄清、说明、补正改变了投标文件的实质性内容；  （2）供应商对采购人、采购代理机构、磋商小组及其工作人员施加影响，有碍公平、公正； （3）磋商文件中规定的其它无效投标情形； （4）法律法规规定属于响应无效的其他情形。</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采购包1(云浮市政务服务大厅窗口统一办事呼叫、评价设备购买和运维（2023-2024年）项目):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商务部分30.0分</w:t>
            </w:r>
          </w:p>
          <w:p>
            <w:r>
              <w:rPr/>
              <w:t>技术部分55.0分</w:t>
            </w:r>
          </w:p>
          <w:p>
            <w:r>
              <w:rPr/>
              <w:t>报价得分15.0分</w:t>
            </w:r>
          </w:p>
        </w:tc>
      </w:tr>
      <w:tr>
        <w:tc>
          <w:tcPr>
            <w:tcW w:type="dxa" w:w="922"/>
            <w:gridSpan w:val="2"/>
            <w:vMerge w:val="restart"/>
          </w:tcPr>
          <w:p>
            <w:pPr>
              <w:jc w:val="center"/>
            </w:pPr>
            <w:r>
              <w:rPr/>
              <w:t>技术部分</w:t>
            </w:r>
          </w:p>
        </w:tc>
        <w:tc>
          <w:tcPr>
            <w:tcW w:type="dxa" w:w="2307"/>
          </w:tcPr>
          <w:p>
            <w:pPr>
              <w:jc w:val="left"/>
            </w:pPr>
            <w:r>
              <w:rPr/>
              <w:t>技术参数响应情况 (35.0分)</w:t>
            </w:r>
          </w:p>
        </w:tc>
        <w:tc>
          <w:tcPr>
            <w:tcW w:type="dxa" w:w="5076"/>
          </w:tcPr>
          <w:p>
            <w:pPr>
              <w:jc w:val="left"/>
            </w:pPr>
            <w:r>
              <w:rPr/>
              <w:t>对用户需求书中带“▲”技术要求条款的技术指标全部响应为满足或优于的得35分。其中“▲”用户需求参数指标不满足或者不响应的每一个扣对应分，扣完为止。 1.完全满足或优于采购需求中带“▲”号的重要技术条款得35分；  2.有1条带“▲”号的重要技术条款负偏离，得 31.5分；  3.有2条带“▲”号的重要技术条款负偏离，得 28分；  4.有3条带“▲”号的重要技术条款负偏离，得24.5分；  5.有4条带“▲”号的重要技术条款负偏离，得 21分；  6.有5条带“▲”号的重要技术条款负偏离，得 17.5分；  7.有6条带“▲”号的重要技术条款负偏离，得 14分；  8.有7条带“▲”号的重要技术条款负偏离，得 10.5分；  9.有8条带“▲”号的重要技术条款负偏离，得 7分；  10.有9条带“▲”号的重要技术条款负偏离，得 3.5分；  11.有10条或以上带“▲”号的重要技术条款负偏离，得0分。  注：提供包括但不限于检测报告、检验报告、测试报告、试验报告等可以证明达到要求的证明材料复印件。</w:t>
            </w:r>
          </w:p>
        </w:tc>
      </w:tr>
      <w:tr>
        <w:tc>
          <w:tcPr>
            <w:tcW w:type="dxa" w:w="922"/>
            <w:gridSpan w:val="2"/>
            <w:vMerge/>
          </w:tcPr>
          <w:p/>
        </w:tc>
        <w:tc>
          <w:tcPr>
            <w:tcW w:type="dxa" w:w="2307"/>
          </w:tcPr>
          <w:p>
            <w:pPr>
              <w:jc w:val="left"/>
            </w:pPr>
            <w:r>
              <w:rPr/>
              <w:t>对本项目用户需求书理解程度 (5.0分)</w:t>
            </w:r>
            <w:r>
              <w:rPr/>
              <w:t>，（等次分值选择：</w:t>
            </w:r>
            <w:r>
              <w:rPr/>
              <w:t>0.0;</w:t>
            </w:r>
            <w:r>
              <w:rPr/>
              <w:t>1.0;</w:t>
            </w:r>
            <w:r>
              <w:rPr/>
              <w:t>2.0;</w:t>
            </w:r>
            <w:r>
              <w:rPr/>
              <w:t>5.0;</w:t>
            </w:r>
            <w:r>
              <w:rPr/>
              <w:t>）</w:t>
            </w:r>
          </w:p>
        </w:tc>
        <w:tc>
          <w:tcPr>
            <w:tcW w:type="dxa" w:w="5076"/>
          </w:tcPr>
          <w:p>
            <w:pPr>
              <w:jc w:val="left"/>
            </w:pPr>
            <w:r>
              <w:rPr/>
              <w:t>根据供应商对本项目用户需求的理解程度，重点难点的分析进行评审： 1.对用户需求理解非常透彻，对项目重点难点的理解十分到位，提出的重点难点有利于项目实施，完全满足或优于招标需求的，得5分； 2.对用户需求理解比较透彻，符合项目实际情况，对项目重点难点的理解分析比较到位，提出的重点难点利于项目实施，满足招标需求的，得2分； 3.对用户需求理解基本符合项目实际情况，对项目重点难点的理解分析基本到位，基本符合招标需求的，得1分； 4.未提供对应方案不得分。注：无提供不得分。</w:t>
            </w:r>
          </w:p>
        </w:tc>
      </w:tr>
      <w:tr>
        <w:tc>
          <w:tcPr>
            <w:tcW w:type="dxa" w:w="922"/>
            <w:gridSpan w:val="2"/>
            <w:vMerge/>
          </w:tcPr>
          <w:p/>
        </w:tc>
        <w:tc>
          <w:tcPr>
            <w:tcW w:type="dxa" w:w="2307"/>
          </w:tcPr>
          <w:p>
            <w:pPr>
              <w:jc w:val="left"/>
            </w:pPr>
            <w:r>
              <w:rPr/>
              <w:t>项目建设方案 (5.0分)</w:t>
            </w:r>
            <w:r>
              <w:rPr/>
              <w:t>，（等次分值选择：</w:t>
            </w:r>
            <w:r>
              <w:rPr/>
              <w:t>0.0;</w:t>
            </w:r>
            <w:r>
              <w:rPr/>
              <w:t>1.0;</w:t>
            </w:r>
            <w:r>
              <w:rPr/>
              <w:t>2.0;</w:t>
            </w:r>
            <w:r>
              <w:rPr/>
              <w:t>5.0;</w:t>
            </w:r>
            <w:r>
              <w:rPr/>
              <w:t>）</w:t>
            </w:r>
          </w:p>
        </w:tc>
        <w:tc>
          <w:tcPr>
            <w:tcW w:type="dxa" w:w="5076"/>
          </w:tcPr>
          <w:p>
            <w:pPr>
              <w:jc w:val="left"/>
            </w:pPr>
            <w:r>
              <w:rPr/>
              <w:t>根据供应商针对本项目拟定的项目建设内容描述(包括但不限于：基础设施清单、软件支撑服务方案、系统对接方案、项目实施方案等)进行评审： 1.建设内容描述非常明确、详尽，针对所投产品特点进行设计，针对方案非常合理、科学的，得5分； 2.建设内容描述比较明确、详尽，针对所投产品特点进行设计，针对方案比较合理、科学的，得2分； 3.建设内容描述基本明确、合理、规范，针对所投产品特点进行设计，针对方案基本合理、科学的，得1分； 4.未提供对应方案不得分。</w:t>
            </w:r>
          </w:p>
        </w:tc>
      </w:tr>
      <w:tr>
        <w:tc>
          <w:tcPr>
            <w:tcW w:type="dxa" w:w="922"/>
            <w:gridSpan w:val="2"/>
            <w:vMerge/>
          </w:tcPr>
          <w:p/>
        </w:tc>
        <w:tc>
          <w:tcPr>
            <w:tcW w:type="dxa" w:w="2307"/>
          </w:tcPr>
          <w:p>
            <w:pPr>
              <w:jc w:val="left"/>
            </w:pPr>
            <w:r>
              <w:rPr/>
              <w:t>质量保证方案 (5.0分)</w:t>
            </w:r>
            <w:r>
              <w:rPr/>
              <w:t>，（等次分值选择：</w:t>
            </w:r>
            <w:r>
              <w:rPr/>
              <w:t>0.0;</w:t>
            </w:r>
            <w:r>
              <w:rPr/>
              <w:t>1.0;</w:t>
            </w:r>
            <w:r>
              <w:rPr/>
              <w:t>2.0;</w:t>
            </w:r>
            <w:r>
              <w:rPr/>
              <w:t>5.0;</w:t>
            </w:r>
            <w:r>
              <w:rPr/>
              <w:t>）</w:t>
            </w:r>
          </w:p>
        </w:tc>
        <w:tc>
          <w:tcPr>
            <w:tcW w:type="dxa" w:w="5076"/>
          </w:tcPr>
          <w:p>
            <w:pPr>
              <w:jc w:val="left"/>
            </w:pPr>
            <w:r>
              <w:rPr/>
              <w:t>根据供应商提供质量保证措施方案（包括但不限于质量目标、项目质量的控制、培训方案等）进行评审： 1.质量目标非常明确、对项目质量的控制非常详细、培训方案非常科学，得5分； 2.质量目标比较明确、对项目质量的控制较为详细、培训方案比较科学，得2分； 3.质量目标基本明确、对项目质量的控制详细程度一般、培训方案科学性一般，得1分； 4.未提供对应方案的不得分。</w:t>
            </w:r>
          </w:p>
        </w:tc>
      </w:tr>
      <w:tr>
        <w:tc>
          <w:tcPr>
            <w:tcW w:type="dxa" w:w="922"/>
            <w:gridSpan w:val="2"/>
            <w:vMerge/>
          </w:tcPr>
          <w:p/>
        </w:tc>
        <w:tc>
          <w:tcPr>
            <w:tcW w:type="dxa" w:w="2307"/>
          </w:tcPr>
          <w:p>
            <w:pPr>
              <w:jc w:val="left"/>
            </w:pPr>
            <w:r>
              <w:rPr/>
              <w:t>售后(运维)服务方案 (3.0分)</w:t>
            </w:r>
            <w:r>
              <w:rPr/>
              <w:t>，（等次分值选择：</w:t>
            </w:r>
            <w:r>
              <w:rPr/>
              <w:t>0.0;</w:t>
            </w:r>
            <w:r>
              <w:rPr/>
              <w:t>1.0;</w:t>
            </w:r>
            <w:r>
              <w:rPr/>
              <w:t>2.0;</w:t>
            </w:r>
            <w:r>
              <w:rPr/>
              <w:t>3.0;</w:t>
            </w:r>
            <w:r>
              <w:rPr/>
              <w:t>）</w:t>
            </w:r>
          </w:p>
        </w:tc>
        <w:tc>
          <w:tcPr>
            <w:tcW w:type="dxa" w:w="5076"/>
          </w:tcPr>
          <w:p>
            <w:pPr>
              <w:jc w:val="left"/>
            </w:pPr>
            <w:r>
              <w:rPr/>
              <w:t>根据供应商提供的售后（运维）服务方案（包括售后维护服务力量配备、维护期内技术服务方案及标准、质保期限长短、保修内容等）进行评审：  1.有详细、合理、切合实际的售后服务计划，承诺对采购人的服务通知，在接报后30分钟内响应，1小时内到达现场，12小时内处理完毕。得3分；  2.有较详细、基本合理可行的售后服务计划，对采购人的服务通知，中标人在接报后45分钟内响应，1.5小时内到达现场，24小时内处理完毕。得2分；  3.有基本合理可行的售后服务计划，对采购人的服务通知，中标人在接报后1小时内响应，2小时内到达现场，48小时内处理完毕，得 1 分。  4.无方案说明的，得 0 分。</w:t>
            </w:r>
          </w:p>
        </w:tc>
      </w:tr>
      <w:tr>
        <w:tc>
          <w:tcPr>
            <w:tcW w:type="dxa" w:w="922"/>
            <w:gridSpan w:val="2"/>
            <w:vMerge/>
          </w:tcPr>
          <w:p/>
        </w:tc>
        <w:tc>
          <w:tcPr>
            <w:tcW w:type="dxa" w:w="2307"/>
          </w:tcPr>
          <w:p>
            <w:pPr>
              <w:jc w:val="left"/>
            </w:pPr>
            <w:r>
              <w:rPr/>
              <w:t>验收标准和验收方案 (2.0分)</w:t>
            </w:r>
            <w:r>
              <w:rPr/>
              <w:t>，（等次分值选择：</w:t>
            </w:r>
            <w:r>
              <w:rPr/>
              <w:t>0.0;</w:t>
            </w:r>
            <w:r>
              <w:rPr/>
              <w:t>1.0;</w:t>
            </w:r>
            <w:r>
              <w:rPr/>
              <w:t>1.5;</w:t>
            </w:r>
            <w:r>
              <w:rPr/>
              <w:t>2.0;</w:t>
            </w:r>
            <w:r>
              <w:rPr/>
              <w:t>）</w:t>
            </w:r>
          </w:p>
        </w:tc>
        <w:tc>
          <w:tcPr>
            <w:tcW w:type="dxa" w:w="5076"/>
          </w:tcPr>
          <w:p>
            <w:pPr>
              <w:jc w:val="left"/>
            </w:pPr>
            <w:r>
              <w:rPr/>
              <w:t>验收方案包括但不限于以下内容：①验收依据和相关的技术标准；②验收的组织形式、程序、注意事项；③ 验收环节和内容。 1.验收方案内容详细描述、完整无缺且具有很好的科学性和可操作性，得2分；  2.验收方案内容描述较详细、较完整且具有较好的科学性和可操作性，得1.5分；  3.验收方案内容描述不够完整、科学性和操作性较低，得1分；  4.无或其他不得分。</w:t>
            </w:r>
          </w:p>
        </w:tc>
      </w:tr>
      <w:tr>
        <w:tc>
          <w:tcPr>
            <w:tcW w:type="dxa" w:w="922"/>
            <w:gridSpan w:val="2"/>
            <w:vMerge w:val="restart"/>
          </w:tcPr>
          <w:p>
            <w:pPr>
              <w:jc w:val="center"/>
            </w:pPr>
            <w:r>
              <w:rPr/>
              <w:t>商务部分</w:t>
            </w:r>
          </w:p>
        </w:tc>
        <w:tc>
          <w:tcPr>
            <w:tcW w:type="dxa" w:w="2307"/>
          </w:tcPr>
          <w:p>
            <w:pPr>
              <w:jc w:val="left"/>
            </w:pPr>
            <w:r>
              <w:rPr/>
              <w:t>拟派项目负责人情况 (6.0分)</w:t>
            </w:r>
            <w:r>
              <w:rPr/>
              <w:t>，（等次分值选择：</w:t>
            </w:r>
            <w:r>
              <w:rPr/>
              <w:t>0.0;</w:t>
            </w:r>
            <w:r>
              <w:rPr/>
              <w:t>2.0;</w:t>
            </w:r>
            <w:r>
              <w:rPr/>
              <w:t>4.0;</w:t>
            </w:r>
            <w:r>
              <w:rPr/>
              <w:t>6.0;</w:t>
            </w:r>
            <w:r>
              <w:rPr/>
              <w:t>）</w:t>
            </w:r>
          </w:p>
        </w:tc>
        <w:tc>
          <w:tcPr>
            <w:tcW w:type="dxa" w:w="5076"/>
          </w:tcPr>
          <w:p>
            <w:pPr>
              <w:jc w:val="left"/>
            </w:pPr>
            <w:r>
              <w:rPr/>
              <w:t>拟派项目负责人1名： 拟派本项目负责人同时具备以下资格（认证）证书得6分，否则不得分： ①具有全日制本科（或以上）毕业证书及学位证书； ②具有信息系统项目管理师证书； ③具有ITSS国家信息技术服务标准应用经理证书； 需要提供下列证明材料： 1.提供2023年3月至2023年5月项目负责人在本单位交纳的社保证明文件（以盖有社会保险基金管理局印章的《投保单》或《社会保险参保证明》资料为准）； 2.项目负责人资格（认证）证书、毕业证书、学位证书复印件。</w:t>
            </w:r>
          </w:p>
        </w:tc>
      </w:tr>
      <w:tr>
        <w:tc>
          <w:tcPr>
            <w:tcW w:type="dxa" w:w="922"/>
            <w:gridSpan w:val="2"/>
            <w:vMerge/>
          </w:tcPr>
          <w:p/>
        </w:tc>
        <w:tc>
          <w:tcPr>
            <w:tcW w:type="dxa" w:w="2307"/>
          </w:tcPr>
          <w:p>
            <w:pPr>
              <w:jc w:val="left"/>
            </w:pPr>
            <w:r>
              <w:rPr/>
              <w:t>项目团队成员 （项目负责人除外） (5.0分)</w:t>
            </w:r>
            <w:r>
              <w:rPr/>
              <w:t>，（等次分值选择：</w:t>
            </w:r>
            <w:r>
              <w:rPr/>
              <w:t>0.0;</w:t>
            </w:r>
            <w:r>
              <w:rPr/>
              <w:t>1.0;</w:t>
            </w:r>
            <w:r>
              <w:rPr/>
              <w:t>2.0;</w:t>
            </w:r>
            <w:r>
              <w:rPr/>
              <w:t>3.0;</w:t>
            </w:r>
            <w:r>
              <w:rPr/>
              <w:t>4.0;</w:t>
            </w:r>
            <w:r>
              <w:rPr/>
              <w:t>5.0;</w:t>
            </w:r>
            <w:r>
              <w:rPr/>
              <w:t>）</w:t>
            </w:r>
          </w:p>
        </w:tc>
        <w:tc>
          <w:tcPr>
            <w:tcW w:type="dxa" w:w="5076"/>
          </w:tcPr>
          <w:p>
            <w:pPr>
              <w:jc w:val="left"/>
            </w:pPr>
            <w:r>
              <w:rPr/>
              <w:t>拟派项目团队成员： 团队成员中具有信息系统项目管理师证书每具有1个得1分，本项最高得5分； 需要提供下列证明材料： 1.提供2023年3月至2023年5月团队成员在本单位交纳的社保证明文件（以盖有社会保险基金管理局印章的《投保单》或《社会保险参保证明》资料为准）； 2.资格（认证）证书复印件。</w:t>
            </w:r>
          </w:p>
        </w:tc>
      </w:tr>
      <w:tr>
        <w:tc>
          <w:tcPr>
            <w:tcW w:type="dxa" w:w="922"/>
            <w:gridSpan w:val="2"/>
            <w:vMerge/>
          </w:tcPr>
          <w:p/>
        </w:tc>
        <w:tc>
          <w:tcPr>
            <w:tcW w:type="dxa" w:w="2307"/>
          </w:tcPr>
          <w:p>
            <w:pPr>
              <w:jc w:val="left"/>
            </w:pPr>
            <w:r>
              <w:rPr/>
              <w:t>投标人资质及认证情况 (6.0分)</w:t>
            </w:r>
            <w:r>
              <w:rPr/>
              <w:t>，（等次分值选择：</w:t>
            </w:r>
            <w:r>
              <w:rPr/>
              <w:t>0.0;</w:t>
            </w:r>
            <w:r>
              <w:rPr/>
              <w:t>1.0;</w:t>
            </w:r>
            <w:r>
              <w:rPr/>
              <w:t>2.0;</w:t>
            </w:r>
            <w:r>
              <w:rPr/>
              <w:t>3.0;</w:t>
            </w:r>
            <w:r>
              <w:rPr/>
              <w:t>4.0;</w:t>
            </w:r>
            <w:r>
              <w:rPr/>
              <w:t>5.0;</w:t>
            </w:r>
            <w:r>
              <w:rPr/>
              <w:t>6.0;</w:t>
            </w:r>
            <w:r>
              <w:rPr/>
              <w:t>）</w:t>
            </w:r>
          </w:p>
        </w:tc>
        <w:tc>
          <w:tcPr>
            <w:tcW w:type="dxa" w:w="5076"/>
          </w:tcPr>
          <w:p>
            <w:pPr>
              <w:jc w:val="left"/>
            </w:pPr>
            <w:r>
              <w:rPr/>
              <w:t>具有由国家认证认可监督管理部门批准设立的认证机构颁发并在有效期内的证书，每提供一个得对应分值，最高得6分，如未按要求提供证明材料或所提供的证明材料未能体现上述评分内容的，视为该材料无效则不得分。 1.投标人具有ITSS信息技术服务运行维护标准符合性证书（成熟度在二级或以上）得2分 2.通过信息技术服务管理体系认证得1分; 3.通过质量体系认证得1分 4.通过环境管理体系认证得1分; 5.通过信息安全管理体系认证得1分; 注：须提供有效证书复印件。</w:t>
            </w:r>
          </w:p>
        </w:tc>
      </w:tr>
      <w:tr>
        <w:tc>
          <w:tcPr>
            <w:tcW w:type="dxa" w:w="922"/>
            <w:gridSpan w:val="2"/>
            <w:vMerge/>
          </w:tcPr>
          <w:p/>
        </w:tc>
        <w:tc>
          <w:tcPr>
            <w:tcW w:type="dxa" w:w="2307"/>
          </w:tcPr>
          <w:p>
            <w:pPr>
              <w:jc w:val="left"/>
            </w:pPr>
            <w:r>
              <w:rPr/>
              <w:t>业绩情况 (8.0分)</w:t>
            </w:r>
            <w:r>
              <w:rPr/>
              <w:t>，（等次分值选择：</w:t>
            </w:r>
            <w:r>
              <w:rPr/>
              <w:t>0.0;</w:t>
            </w:r>
            <w:r>
              <w:rPr/>
              <w:t>1.0;</w:t>
            </w:r>
            <w:r>
              <w:rPr/>
              <w:t>2.0;</w:t>
            </w:r>
            <w:r>
              <w:rPr/>
              <w:t>3.0;</w:t>
            </w:r>
            <w:r>
              <w:rPr/>
              <w:t>4.0;</w:t>
            </w:r>
            <w:r>
              <w:rPr/>
              <w:t>5.0;</w:t>
            </w:r>
            <w:r>
              <w:rPr/>
              <w:t>6.0;</w:t>
            </w:r>
            <w:r>
              <w:rPr/>
              <w:t>7.0;</w:t>
            </w:r>
            <w:r>
              <w:rPr/>
              <w:t>8.0;</w:t>
            </w:r>
            <w:r>
              <w:rPr/>
              <w:t>）</w:t>
            </w:r>
          </w:p>
        </w:tc>
        <w:tc>
          <w:tcPr>
            <w:tcW w:type="dxa" w:w="5076"/>
          </w:tcPr>
          <w:p>
            <w:pPr>
              <w:jc w:val="left"/>
            </w:pPr>
            <w:r>
              <w:rPr/>
              <w:t>根据供应商提供的信息化建设类项目业绩进行评审，每提供一项得1分，本项最高得8分。不提供或提供材料不符合要求得0分。 注：须同时提供中标（成交）通知书复印件、合同关键页（包括但不限于首页、采购内容页、签字页、签订时间页等）复印件。</w:t>
            </w:r>
          </w:p>
        </w:tc>
      </w:tr>
      <w:tr>
        <w:tc>
          <w:tcPr>
            <w:tcW w:type="dxa" w:w="922"/>
            <w:gridSpan w:val="2"/>
            <w:vMerge/>
          </w:tcPr>
          <w:p/>
        </w:tc>
        <w:tc>
          <w:tcPr>
            <w:tcW w:type="dxa" w:w="2307"/>
          </w:tcPr>
          <w:p>
            <w:pPr>
              <w:jc w:val="left"/>
            </w:pPr>
            <w:r>
              <w:rPr/>
              <w:t>供应商实力 (5.0分)</w:t>
            </w:r>
            <w:r>
              <w:rPr/>
              <w:t>，（等次分值选择：</w:t>
            </w:r>
            <w:r>
              <w:rPr/>
              <w:t>0.0;</w:t>
            </w:r>
            <w:r>
              <w:rPr/>
              <w:t>0.5;</w:t>
            </w:r>
            <w:r>
              <w:rPr/>
              <w:t>1.0;</w:t>
            </w:r>
            <w:r>
              <w:rPr/>
              <w:t>3.0;</w:t>
            </w:r>
            <w:r>
              <w:rPr/>
              <w:t>5.0;</w:t>
            </w:r>
            <w:r>
              <w:rPr/>
              <w:t>）</w:t>
            </w:r>
          </w:p>
        </w:tc>
        <w:tc>
          <w:tcPr>
            <w:tcW w:type="dxa" w:w="5076"/>
          </w:tcPr>
          <w:p>
            <w:pPr>
              <w:jc w:val="left"/>
            </w:pPr>
            <w:r>
              <w:rPr/>
              <w:t>根据供应商提供项目获得的奖项，按每一奖项计算得分，本项最高得5分。 1.投标人具有国务院或其直属主管部门颁发的科学技术奖项一等奖或以上证书的得5分，二等奖的得3分，三等奖得1分； 2.投标人具有副省级或以上城市政府部门颁发的科学技术奖项一等奖或以上证书的得3分，二等奖的得1分，三等奖得0.5分； 注：需要提供下列证明材料：获奖证书复印件。同一获奖项目内容按照最高得分计，不重复得分。</w:t>
            </w:r>
          </w:p>
        </w:tc>
      </w:tr>
      <w:tr>
        <w:tc>
          <w:tcPr>
            <w:tcW w:type="dxa" w:w="922"/>
            <w:gridSpan w:val="2"/>
          </w:tcPr>
          <w:p>
            <w:pPr>
              <w:jc w:val="center"/>
            </w:pPr>
            <w:r>
              <w:rPr/>
              <w:t>投标报价</w:t>
            </w:r>
          </w:p>
        </w:tc>
        <w:tc>
          <w:tcPr>
            <w:tcW w:type="dxa" w:w="2307"/>
          </w:tcPr>
          <w:p>
            <w:pPr>
              <w:jc w:val="left"/>
            </w:pPr>
            <w:r>
              <w:rPr/>
              <w:t>投标报价得分 (15.0分)</w:t>
            </w:r>
          </w:p>
        </w:tc>
        <w:tc>
          <w:tcPr>
            <w:tcW w:type="dxa" w:w="5076"/>
          </w:tcPr>
          <w:p>
            <w:pPr>
              <w:jc w:val="left"/>
            </w:pPr>
            <w:r>
              <w:rPr/>
              <w:t>磋商报价得分＝（磋商基准价/最后磋商报价）×价格分值【注：满足磋商文件要求且磋商价格最低的投标报价为磋商基准价。】最低报价不是中标的唯一依据。因落实政府采购政策进行价格调整的，以调整后的价格计算评标基准价和磋商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磋商小组采取随机抽取的方式确定。排名第一的磋商供应商为第一成交候选人，排名第二的磋商供应商为第二成交候选人（提供相同品牌产品（非单一产品采购，以核心产品为准。多个核心产品的，有一种产品品牌相同，即视为提供相同品牌产品），评审后得分最高的同品牌磋商供应商获得成交候选人推荐资格；评审得分相同的，由采购人或者采购人委托磋商小组采取随机抽取方式确定，其他同品牌磋商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rPr>
        <w:t xml:space="preserve"> </w:t>
      </w:r>
    </w:p>
    <w:p>
      <w:pPr>
        <w:jc w:val="center"/>
      </w:pPr>
      <w:r>
        <w:rPr>
          <w:b/>
        </w:rPr>
        <w:t xml:space="preserve"> </w:t>
      </w:r>
    </w:p>
    <w:p>
      <w:pPr>
        <w:jc w:val="center"/>
      </w:pPr>
      <w:r>
        <w:rPr>
          <w:b/>
        </w:rPr>
        <w:t xml:space="preserve"> </w:t>
      </w:r>
    </w:p>
    <w:p>
      <w:pPr>
        <w:jc w:val="center"/>
      </w:pPr>
      <w:r>
        <w:rPr>
          <w:b/>
        </w:rPr>
        <w:t xml:space="preserve"> </w:t>
      </w:r>
    </w:p>
    <w:p>
      <w:pPr>
        <w:jc w:val="center"/>
      </w:pPr>
      <w:r>
        <w:rPr>
          <w:b/>
        </w:rPr>
        <w:t>广东省政府采购</w:t>
      </w:r>
    </w:p>
    <w:p>
      <w:pPr>
        <w:jc w:val="both"/>
      </w:pPr>
      <w:r>
        <w:rPr>
          <w:color w:val="222222"/>
          <w:sz w:val="27"/>
        </w:rPr>
        <w:t xml:space="preserve"> </w:t>
      </w:r>
    </w:p>
    <w:p>
      <w:pPr>
        <w:jc w:val="center"/>
      </w:pPr>
      <w:r>
        <w:rPr>
          <w:b/>
          <w:sz w:val="30"/>
        </w:rPr>
        <w:t>合　同　书</w:t>
      </w:r>
    </w:p>
    <w:p>
      <w:pPr>
        <w:jc w:val="center"/>
      </w:pPr>
      <w:r>
        <w:br/>
      </w:r>
      <w:r>
        <w:br/>
      </w:r>
      <w:r>
        <w:br/>
      </w:r>
      <w:r>
        <w:br/>
      </w:r>
      <w:r>
        <w:br/>
      </w:r>
      <w:r>
        <w:br/>
      </w:r>
      <w:r>
        <w:br/>
      </w:r>
      <w:r>
        <w:br/>
      </w:r>
      <w:r>
        <w:rPr>
          <w:color w:val="222222"/>
          <w:sz w:val="24"/>
        </w:rPr>
        <w:t xml:space="preserve"> </w:t>
      </w:r>
    </w:p>
    <w:p>
      <w:pPr>
        <w:jc w:val="center"/>
      </w:pPr>
      <w:r>
        <w:rPr>
          <w:color w:val="222222"/>
          <w:sz w:val="24"/>
        </w:rPr>
        <w:t>采购计划编号：</w:t>
      </w:r>
      <w:r>
        <w:rPr>
          <w:b/>
          <w:sz w:val="24"/>
        </w:rPr>
        <w:t>445301-2023-00647</w:t>
      </w:r>
    </w:p>
    <w:p>
      <w:pPr>
        <w:jc w:val="both"/>
      </w:pPr>
      <w:r>
        <w:rPr>
          <w:color w:val="222222"/>
          <w:sz w:val="24"/>
        </w:rPr>
        <w:t xml:space="preserve"> </w:t>
      </w:r>
    </w:p>
    <w:p>
      <w:pPr>
        <w:jc w:val="center"/>
      </w:pPr>
      <w:r>
        <w:rPr>
          <w:color w:val="222222"/>
          <w:sz w:val="24"/>
        </w:rPr>
        <w:t>项目编号：</w:t>
      </w:r>
      <w:r>
        <w:rPr>
          <w:b/>
          <w:sz w:val="24"/>
        </w:rPr>
        <w:t>445301-2023-00647</w:t>
      </w:r>
    </w:p>
    <w:p>
      <w:pPr>
        <w:jc w:val="both"/>
      </w:pPr>
      <w:r>
        <w:rPr>
          <w:color w:val="222222"/>
          <w:sz w:val="24"/>
        </w:rPr>
        <w:t xml:space="preserve"> </w:t>
      </w:r>
    </w:p>
    <w:p>
      <w:pPr>
        <w:jc w:val="both"/>
      </w:pPr>
      <w:r>
        <w:rPr>
          <w:color w:val="222222"/>
          <w:sz w:val="24"/>
        </w:rPr>
        <w:t xml:space="preserve">           项目名称：</w:t>
      </w:r>
      <w:r>
        <w:rPr>
          <w:b/>
          <w:sz w:val="24"/>
        </w:rPr>
        <w:t>云浮市政务服务大厅窗口统一办事呼叫、评价设备购买和运维（2023-2024年）项目</w:t>
      </w:r>
      <w:r>
        <w:rPr>
          <w:sz w:val="24"/>
        </w:rPr>
        <w:t xml:space="preserve">  </w:t>
      </w:r>
    </w:p>
    <w:p>
      <w:r>
        <w:rPr>
          <w:color w:val="222222"/>
          <w:sz w:val="24"/>
        </w:rPr>
        <w:t xml:space="preserve"> </w:t>
      </w:r>
    </w:p>
    <w:p>
      <w:r>
        <w:rPr>
          <w:color w:val="222222"/>
          <w:sz w:val="24"/>
        </w:rPr>
        <w:t xml:space="preserve"> </w:t>
      </w:r>
    </w:p>
    <w:p>
      <w:r>
        <w:rPr>
          <w:color w:val="222222"/>
          <w:sz w:val="24"/>
        </w:rPr>
        <w:t xml:space="preserve"> </w:t>
      </w:r>
    </w:p>
    <w:p>
      <w:r>
        <w:rPr>
          <w:color w:val="222222"/>
          <w:sz w:val="24"/>
        </w:rPr>
        <w:t xml:space="preserve"> </w:t>
      </w:r>
    </w:p>
    <w:p>
      <w:r>
        <w:rPr>
          <w:color w:val="222222"/>
          <w:sz w:val="24"/>
        </w:rPr>
        <w:t xml:space="preserve"> </w:t>
      </w:r>
    </w:p>
    <w:p>
      <w:r>
        <w:rPr>
          <w:color w:val="222222"/>
          <w:sz w:val="24"/>
        </w:rPr>
        <w:t xml:space="preserve"> </w:t>
      </w:r>
    </w:p>
    <w:p>
      <w:r>
        <w:rPr>
          <w:color w:val="222222"/>
          <w:sz w:val="24"/>
        </w:rPr>
        <w:t xml:space="preserve"> </w:t>
      </w:r>
    </w:p>
    <w:p>
      <w:r>
        <w:rPr>
          <w:color w:val="222222"/>
          <w:sz w:val="24"/>
        </w:rPr>
        <w:t xml:space="preserve"> </w:t>
      </w:r>
    </w:p>
    <w:p>
      <w:r>
        <w:rPr>
          <w:color w:val="222222"/>
          <w:sz w:val="24"/>
        </w:rPr>
        <w:t xml:space="preserve"> </w:t>
      </w:r>
    </w:p>
    <w:p>
      <w:pPr>
        <w:jc w:val="both"/>
      </w:pPr>
      <w:r>
        <w:br/>
      </w:r>
      <w:r>
        <w:rPr>
          <w:color w:val="222222"/>
          <w:sz w:val="24"/>
        </w:rPr>
        <w:t xml:space="preserve"> </w:t>
      </w:r>
    </w:p>
    <w:p>
      <w:pPr>
        <w:jc w:val="both"/>
      </w:pPr>
      <w:r>
        <w:rPr>
          <w:b/>
          <w:sz w:val="24"/>
        </w:rPr>
        <w:t>甲　　方：</w:t>
      </w:r>
      <w:r>
        <w:rPr>
          <w:b/>
          <w:color w:val="222222"/>
          <w:sz w:val="24"/>
        </w:rPr>
        <w:t>云浮市人民政府行政服务中心</w:t>
      </w:r>
      <w:r>
        <w:rPr>
          <w:b/>
          <w:sz w:val="24"/>
        </w:rPr>
        <w:t xml:space="preserve"> </w:t>
      </w:r>
    </w:p>
    <w:p>
      <w:pPr>
        <w:jc w:val="both"/>
      </w:pPr>
      <w:r>
        <w:rPr>
          <w:sz w:val="24"/>
        </w:rPr>
        <w:t>电　　话：0766-8819352</w:t>
      </w:r>
    </w:p>
    <w:p>
      <w:pPr>
        <w:jc w:val="both"/>
      </w:pPr>
      <w:r>
        <w:rPr>
          <w:sz w:val="24"/>
        </w:rPr>
        <w:t>地　　址：云浮市云城区城中路111号</w:t>
      </w:r>
    </w:p>
    <w:p>
      <w:pPr>
        <w:jc w:val="both"/>
      </w:pPr>
      <w:r>
        <w:rPr>
          <w:b/>
          <w:sz w:val="24"/>
        </w:rPr>
        <w:t>乙方：</w:t>
      </w:r>
      <w:r>
        <w:rPr>
          <w:b/>
          <w:sz w:val="24"/>
        </w:rPr>
        <w:t xml:space="preserve"> </w:t>
      </w:r>
      <w:r>
        <w:rPr>
          <w:sz w:val="24"/>
          <w:u w:val="single"/>
        </w:rPr>
        <w:t>　　　　　</w:t>
      </w:r>
      <w:r>
        <w:rPr>
          <w:sz w:val="24"/>
          <w:u w:val="single"/>
        </w:rPr>
        <w:t xml:space="preserve"> </w:t>
      </w:r>
      <w:r>
        <w:rPr>
          <w:sz w:val="24"/>
          <w:u w:val="single"/>
        </w:rPr>
        <w:t xml:space="preserve"> </w:t>
      </w:r>
    </w:p>
    <w:p>
      <w:pPr>
        <w:jc w:val="both"/>
      </w:pPr>
      <w:r>
        <w:rPr>
          <w:color w:val="222222"/>
          <w:sz w:val="24"/>
        </w:rPr>
        <w:t>电话：</w:t>
      </w:r>
      <w:r>
        <w:rPr>
          <w:color w:val="222222"/>
          <w:sz w:val="24"/>
        </w:rPr>
        <w:t xml:space="preserve"> </w:t>
      </w:r>
      <w:r>
        <w:rPr>
          <w:sz w:val="24"/>
          <w:u w:val="single"/>
        </w:rPr>
        <w:t>　　　　</w:t>
      </w:r>
      <w:r>
        <w:rPr>
          <w:sz w:val="24"/>
          <w:u w:val="single"/>
        </w:rPr>
        <w:t xml:space="preserve"> </w:t>
      </w:r>
      <w:r>
        <w:rPr>
          <w:sz w:val="24"/>
          <w:u w:val="single"/>
        </w:rPr>
        <w:t xml:space="preserve"> </w:t>
      </w:r>
    </w:p>
    <w:p>
      <w:pPr>
        <w:jc w:val="both"/>
      </w:pPr>
      <w:r>
        <w:rPr>
          <w:color w:val="222222"/>
          <w:sz w:val="24"/>
        </w:rPr>
        <w:t>地址：</w:t>
      </w:r>
      <w:r>
        <w:rPr>
          <w:color w:val="222222"/>
          <w:sz w:val="24"/>
        </w:rPr>
        <w:t xml:space="preserve"> </w:t>
      </w:r>
      <w:r>
        <w:rPr>
          <w:sz w:val="24"/>
          <w:u w:val="single"/>
        </w:rPr>
        <w:t>　　　</w:t>
      </w:r>
      <w:r>
        <w:rPr>
          <w:sz w:val="24"/>
          <w:u w:val="single"/>
        </w:rPr>
        <w:t xml:space="preserve"> </w:t>
      </w:r>
      <w:r>
        <w:rPr>
          <w:sz w:val="24"/>
          <w:u w:val="single"/>
        </w:rPr>
        <w:t xml:space="preserve"> </w:t>
      </w:r>
      <w:r>
        <w:rPr>
          <w:sz w:val="24"/>
          <w:u w:val="single"/>
        </w:rPr>
        <w:t xml:space="preserve"> </w:t>
      </w:r>
    </w:p>
    <w:p>
      <w:pPr>
        <w:jc w:val="both"/>
      </w:pPr>
      <w:r>
        <w:rPr>
          <w:color w:val="222222"/>
          <w:sz w:val="27"/>
        </w:rPr>
        <w:t xml:space="preserve"> </w:t>
      </w:r>
    </w:p>
    <w:p>
      <w:pPr>
        <w:jc w:val="both"/>
      </w:pPr>
      <w:r>
        <w:rPr>
          <w:color w:val="222222"/>
          <w:sz w:val="27"/>
        </w:rPr>
        <w:t xml:space="preserve"> </w:t>
      </w:r>
      <w:r>
        <w:rPr>
          <w:sz w:val="24"/>
        </w:rPr>
        <w:t xml:space="preserve"> 根据</w:t>
      </w:r>
      <w:r>
        <w:rPr>
          <w:b/>
          <w:sz w:val="24"/>
        </w:rPr>
        <w:t>云浮市政务服务大厅窗口统一办事呼叫、评价设备购买和运维（2023-2024年）项目</w:t>
      </w:r>
      <w:r>
        <w:rPr>
          <w:sz w:val="24"/>
        </w:rPr>
        <w:t xml:space="preserve"> 的采购结果，按照《中华人民共和国政府采购法》，《中华人民共和国民法典(合同编)》的规定，经双方协商，本着平等互利和诚实信用的原则，一致同意遵守本合同如下。</w:t>
      </w:r>
    </w:p>
    <w:p>
      <w:pPr>
        <w:jc w:val="both"/>
      </w:pPr>
      <w:r>
        <w:rPr>
          <w:sz w:val="24"/>
        </w:rPr>
        <w:t xml:space="preserve">    一、合同金额</w:t>
      </w:r>
    </w:p>
    <w:p>
      <w:pPr>
        <w:jc w:val="both"/>
      </w:pPr>
      <w:r>
        <w:rPr>
          <w:sz w:val="24"/>
        </w:rPr>
        <w:t>　　合同金额为（大写）：_____________元（￥_________元）人民币。</w:t>
      </w:r>
    </w:p>
    <w:p>
      <w:pPr>
        <w:ind w:firstLine="542"/>
        <w:jc w:val="both"/>
      </w:pPr>
      <w:r>
        <w:rPr>
          <w:sz w:val="24"/>
        </w:rPr>
        <w:t>二、服务范围</w:t>
      </w:r>
    </w:p>
    <w:p>
      <w:pPr>
        <w:ind w:firstLine="540"/>
        <w:jc w:val="both"/>
      </w:pPr>
      <w:r>
        <w:rPr>
          <w:sz w:val="24"/>
        </w:rPr>
        <w:t>本项目的招标文件、响应文件、中标通知书、合同附件等文件确定的服务内容。</w:t>
      </w:r>
    </w:p>
    <w:p>
      <w:pPr>
        <w:jc w:val="both"/>
      </w:pPr>
      <w:r>
        <w:rPr/>
        <w:t xml:space="preserve"> </w:t>
      </w:r>
    </w:p>
    <w:p>
      <w:pPr>
        <w:ind w:firstLine="542"/>
        <w:jc w:val="both"/>
      </w:pPr>
      <w:r>
        <w:rPr>
          <w:sz w:val="24"/>
        </w:rPr>
        <w:t>三、甲方乙方的权利和义务</w:t>
      </w:r>
    </w:p>
    <w:p>
      <w:pPr>
        <w:ind w:firstLine="540"/>
        <w:jc w:val="both"/>
      </w:pPr>
      <w:r>
        <w:rPr>
          <w:sz w:val="24"/>
        </w:rPr>
        <w:t>(一) 甲方的权利和义务</w:t>
      </w:r>
    </w:p>
    <w:p>
      <w:pPr>
        <w:ind w:firstLine="540"/>
        <w:jc w:val="both"/>
      </w:pPr>
      <w:r>
        <w:rPr>
          <w:sz w:val="24"/>
        </w:rPr>
        <w:t>1.甲方向乙方提供项目实施的必要支持，并就项目的完成情况进行监督及给予建议。</w:t>
      </w:r>
    </w:p>
    <w:p>
      <w:pPr>
        <w:ind w:firstLine="540"/>
        <w:jc w:val="both"/>
      </w:pPr>
      <w:r>
        <w:rPr>
          <w:sz w:val="24"/>
        </w:rPr>
        <w:t>2.甲方应指定专人负责与乙方就项目的执行、完成情况等进行及时有效的沟通。</w:t>
      </w:r>
    </w:p>
    <w:p>
      <w:pPr>
        <w:ind w:firstLine="540"/>
        <w:jc w:val="both"/>
      </w:pPr>
      <w:r>
        <w:rPr>
          <w:sz w:val="24"/>
        </w:rPr>
        <w:t>3.甲方应于约定的时间与方式足额向乙方支付项目费用。</w:t>
      </w:r>
    </w:p>
    <w:p>
      <w:pPr>
        <w:ind w:firstLine="540"/>
        <w:jc w:val="both"/>
      </w:pPr>
      <w:r>
        <w:rPr>
          <w:sz w:val="24"/>
        </w:rPr>
        <w:t>4.其他法律法规规定的情形。</w:t>
      </w:r>
    </w:p>
    <w:p>
      <w:pPr>
        <w:ind w:firstLine="540"/>
        <w:jc w:val="both"/>
      </w:pPr>
      <w:r>
        <w:rPr>
          <w:sz w:val="24"/>
        </w:rPr>
        <w:t>(二) 乙方的权利和义务</w:t>
      </w:r>
    </w:p>
    <w:p>
      <w:pPr>
        <w:ind w:firstLine="540"/>
        <w:jc w:val="both"/>
      </w:pPr>
      <w:r>
        <w:rPr>
          <w:sz w:val="24"/>
        </w:rPr>
        <w:t>1.乙方应负责项目的执行，完成本合同约定的内容。</w:t>
      </w:r>
    </w:p>
    <w:p>
      <w:pPr>
        <w:ind w:firstLine="540"/>
        <w:jc w:val="both"/>
      </w:pPr>
      <w:r>
        <w:rPr>
          <w:sz w:val="24"/>
        </w:rPr>
        <w:t>2.乙方应就甲方的合理建议调整项目的实施。经甲、乙双方协商一致变更项目内容的，乙方应根据变更的内容，在甲方的支持下及时调整项目的实施方式。</w:t>
      </w:r>
    </w:p>
    <w:p>
      <w:pPr>
        <w:ind w:firstLine="540"/>
        <w:jc w:val="both"/>
      </w:pPr>
      <w:r>
        <w:rPr>
          <w:sz w:val="24"/>
        </w:rPr>
        <w:t>3.乙方应认真、严谨、负责地完成项目，与甲方沟通项目的执行情况和执行过程中遇到的问题，及时纠正或弥补项目中存在的问题。</w:t>
      </w:r>
    </w:p>
    <w:p>
      <w:pPr>
        <w:ind w:firstLine="540"/>
        <w:jc w:val="both"/>
      </w:pPr>
      <w:r>
        <w:rPr>
          <w:sz w:val="24"/>
        </w:rPr>
        <w:t>4.除征得甲方书面同意外，乙方不得将项目的实施工作全部或部分转移给第三方。</w:t>
      </w:r>
    </w:p>
    <w:p>
      <w:pPr>
        <w:ind w:firstLine="540"/>
        <w:jc w:val="both"/>
      </w:pPr>
      <w:r>
        <w:rPr>
          <w:sz w:val="24"/>
        </w:rPr>
        <w:t>5.其他法律法规规定的情形。</w:t>
      </w:r>
    </w:p>
    <w:p>
      <w:pPr>
        <w:ind w:firstLine="542"/>
        <w:jc w:val="both"/>
      </w:pPr>
      <w:r>
        <w:rPr>
          <w:sz w:val="24"/>
        </w:rPr>
        <w:t>四、合同履行期限</w:t>
      </w:r>
    </w:p>
    <w:p>
      <w:pPr>
        <w:ind w:firstLine="540"/>
        <w:jc w:val="both"/>
      </w:pPr>
      <w:r>
        <w:rPr>
          <w:sz w:val="24"/>
        </w:rPr>
        <w:t>合同期限：自______年______月</w:t>
      </w:r>
      <w:r>
        <w:rPr>
          <w:sz w:val="24"/>
          <w:u w:val="single"/>
        </w:rPr>
        <w:t xml:space="preserve">     </w:t>
      </w:r>
      <w:r>
        <w:rPr>
          <w:sz w:val="24"/>
        </w:rPr>
        <w:t xml:space="preserve">日至_____年_____月 </w:t>
      </w:r>
      <w:r>
        <w:rPr>
          <w:sz w:val="24"/>
          <w:u w:val="single"/>
        </w:rPr>
        <w:t xml:space="preserve">    </w:t>
      </w:r>
      <w:r>
        <w:rPr>
          <w:sz w:val="24"/>
        </w:rPr>
        <w:t>日止（3年），自合同签订生效起 90 天内完成设备安装及调试。</w:t>
      </w:r>
    </w:p>
    <w:p>
      <w:pPr>
        <w:jc w:val="both"/>
      </w:pPr>
    </w:p>
    <w:p>
      <w:pPr>
        <w:ind w:firstLine="542"/>
        <w:jc w:val="both"/>
      </w:pPr>
      <w:r>
        <w:rPr>
          <w:sz w:val="24"/>
        </w:rPr>
        <w:t>五、付款方式</w:t>
      </w:r>
    </w:p>
    <w:p>
      <w:pPr>
        <w:ind w:firstLine="540"/>
        <w:jc w:val="both"/>
      </w:pPr>
      <w:r>
        <w:rPr>
          <w:sz w:val="24"/>
        </w:rPr>
        <w:t>由甲方按下列程序付款：</w:t>
      </w:r>
    </w:p>
    <w:p>
      <w:pPr>
        <w:ind w:firstLine="540"/>
        <w:jc w:val="both"/>
      </w:pPr>
      <w:r>
        <w:rPr>
          <w:sz w:val="24"/>
        </w:rPr>
        <w:t>1期：支付比例50%,1.预付款：签订合同后15个工作日内，供应商书面提出申请函及与拟支付金额等额的符合采购人财务管理要求的相应发票，采购人在收到发票并确认后5个工作日内办理第一期款支付手续，支付项目合同金额的50%。</w:t>
      </w:r>
    </w:p>
    <w:p>
      <w:pPr>
        <w:ind w:firstLine="540"/>
        <w:jc w:val="both"/>
      </w:pPr>
      <w:r>
        <w:rPr>
          <w:sz w:val="24"/>
        </w:rPr>
        <w:t>2期：支</w:t>
      </w:r>
      <w:r>
        <w:rPr>
          <w:sz w:val="24"/>
        </w:rPr>
        <w:t>付比例50%,2.项目完成设备安装及调试，运行良好，功能及性能符合合同要求，通过初验后15个工作日内，供应商提出支付申请函及与拟支付金额等额的符合采购人财务管理要求的相应发票，采购人在收到发票并确认后5个工作日内办理第二期款支付手续，支付项目合同金额的50%。</w:t>
      </w:r>
    </w:p>
    <w:p>
      <w:pPr>
        <w:ind w:firstLine="540"/>
        <w:jc w:val="both"/>
      </w:pPr>
      <w:r>
        <w:rPr>
          <w:sz w:val="24"/>
        </w:rPr>
        <w:t>3.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ind w:firstLine="540"/>
        <w:jc w:val="both"/>
      </w:pPr>
      <w:r>
        <w:rPr>
          <w:sz w:val="24"/>
        </w:rPr>
        <w:t>4.付款时间为采购人向财政部门提出支付申请的时间，不含财政部门审查的时间及预算下达的时间，如因政府财政支付管理流程导致的支付延期，支付期限自动顺延，采购人不承担责任，供应商不得以此为由迟延履行或不履行合同义务。</w:t>
      </w:r>
    </w:p>
    <w:p>
      <w:pPr>
        <w:jc w:val="both"/>
      </w:pPr>
      <w:r>
        <w:rPr/>
        <w:t xml:space="preserve"> </w:t>
      </w:r>
    </w:p>
    <w:p>
      <w:pPr>
        <w:ind w:firstLine="542"/>
        <w:jc w:val="both"/>
      </w:pPr>
      <w:r>
        <w:rPr>
          <w:sz w:val="24"/>
        </w:rPr>
        <w:t>六、质保期及售后服务要求</w:t>
      </w:r>
    </w:p>
    <w:p>
      <w:pPr>
        <w:ind w:firstLine="540"/>
        <w:jc w:val="both"/>
      </w:pPr>
      <w:r>
        <w:rPr>
          <w:sz w:val="24"/>
        </w:rPr>
        <w:t>1.本合同的质量保证期（简称“质保期”）为三年，质保期内乙方对所供货物实行包修、包换、包退及合同约定的其它事项。期满后</w:t>
      </w:r>
      <w:r>
        <w:rPr>
          <w:sz w:val="24"/>
        </w:rPr>
        <w:t>乙方可提供终身有偿维修保养服务。若各服务站点现有设备达标可利旧的，由供应商与服务站点双方确认利旧，但服务期内这部分设备的更换、维护等费用均由运营商负责。</w:t>
      </w:r>
    </w:p>
    <w:p>
      <w:pPr>
        <w:ind w:firstLine="540"/>
        <w:jc w:val="both"/>
      </w:pPr>
      <w:r>
        <w:rPr>
          <w:sz w:val="24"/>
        </w:rPr>
        <w:t>2.质保期内，如设备或零部件因质量原因出现故障而造成短期停用时，则质保期和免费维修期相应顺延。如停用时间累计超过60天则质保期重新计算。</w:t>
      </w:r>
    </w:p>
    <w:p>
      <w:pPr>
        <w:ind w:firstLine="420"/>
        <w:jc w:val="both"/>
      </w:pPr>
      <w:r>
        <w:rPr/>
        <w:t xml:space="preserve"> </w:t>
      </w:r>
    </w:p>
    <w:p>
      <w:pPr>
        <w:ind w:firstLine="542"/>
        <w:jc w:val="both"/>
      </w:pPr>
      <w:r>
        <w:rPr>
          <w:sz w:val="24"/>
        </w:rPr>
        <w:t>七、安装与调试</w:t>
      </w:r>
    </w:p>
    <w:p>
      <w:pPr>
        <w:ind w:firstLine="540"/>
        <w:jc w:val="both"/>
      </w:pPr>
      <w:r>
        <w:rPr>
          <w:sz w:val="24"/>
        </w:rPr>
        <w:t>乙方必须依照招标文件的要求和响应文件的承诺，将设备、系统安装并调试至正常运行的最佳状态。</w:t>
      </w:r>
    </w:p>
    <w:p>
      <w:pPr>
        <w:ind w:firstLine="542"/>
        <w:jc w:val="both"/>
      </w:pPr>
      <w:r>
        <w:rPr>
          <w:sz w:val="24"/>
        </w:rPr>
        <w:t>八、验收</w:t>
      </w:r>
    </w:p>
    <w:p>
      <w:pPr>
        <w:ind w:firstLine="540"/>
        <w:jc w:val="both"/>
      </w:pPr>
      <w:r>
        <w:rPr>
          <w:sz w:val="24"/>
        </w:rPr>
        <w:t>1.交付验收标准依次序对照适用标准为：①符合中华人民共和国国家安全质量标准、环保标准或行业标准；②符合招标文件和响应承诺中甲方认可的合理最佳配置、参数及各项要求。</w:t>
      </w:r>
    </w:p>
    <w:p>
      <w:pPr>
        <w:ind w:firstLine="540"/>
        <w:jc w:val="both"/>
      </w:pPr>
      <w:r>
        <w:rPr>
          <w:sz w:val="24"/>
        </w:rPr>
        <w:t>2.货物为原厂商未启封全新包装，具出厂合格证，序列号、包装箱号与出厂批号一致，并可追索查阅。所有随设备的附件必须齐全。</w:t>
      </w:r>
    </w:p>
    <w:p>
      <w:pPr>
        <w:ind w:firstLine="540"/>
        <w:jc w:val="both"/>
      </w:pPr>
      <w:r>
        <w:rPr>
          <w:sz w:val="24"/>
        </w:rPr>
        <w:t>3.乙方应将关键主机设备的用户手册、保修手册、有关单证资料及配备件、随机工具等交付给甲方，使用操作及安全须知等重要资料应附有中文说明。</w:t>
      </w:r>
    </w:p>
    <w:p>
      <w:pPr>
        <w:ind w:firstLine="540"/>
        <w:jc w:val="both"/>
      </w:pPr>
      <w:r>
        <w:rPr>
          <w:sz w:val="24"/>
        </w:rPr>
        <w:t>4.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ind w:firstLine="542"/>
        <w:jc w:val="both"/>
      </w:pPr>
      <w:r>
        <w:rPr>
          <w:sz w:val="24"/>
        </w:rPr>
        <w:t>九、培训</w:t>
      </w:r>
    </w:p>
    <w:p>
      <w:pPr>
        <w:ind w:firstLine="540"/>
        <w:jc w:val="both"/>
      </w:pPr>
      <w:r>
        <w:rPr>
          <w:sz w:val="24"/>
        </w:rPr>
        <w:t>乙方在提供服务过程中，应根据甲方要求，为甲方指定的人员提供技术指导和培训。</w:t>
      </w:r>
    </w:p>
    <w:p>
      <w:pPr>
        <w:ind w:firstLine="542"/>
        <w:jc w:val="both"/>
      </w:pPr>
      <w:r>
        <w:rPr>
          <w:sz w:val="24"/>
        </w:rPr>
        <w:t>十、保密</w:t>
      </w:r>
    </w:p>
    <w:p>
      <w:pPr>
        <w:ind w:firstLine="540"/>
        <w:jc w:val="both"/>
      </w:pPr>
      <w:r>
        <w:rPr>
          <w:sz w:val="24"/>
        </w:rPr>
        <w:t>乙方应按照国家相关保密规定签订保密协议，在服务期间及合同终止后的一定时间内，必须做好相关保密工作，不得泄露项目的相关信息，不得用于其他业务，不得将相关服务数据用作其他数据分析，不得随意调取系统数据。</w:t>
      </w:r>
    </w:p>
    <w:p>
      <w:pPr>
        <w:ind w:firstLine="542"/>
        <w:jc w:val="both"/>
      </w:pPr>
      <w:r>
        <w:rPr>
          <w:sz w:val="24"/>
        </w:rPr>
        <w:t>十一、违约责任与赔偿损失</w:t>
      </w:r>
    </w:p>
    <w:p>
      <w:pPr>
        <w:ind w:firstLine="540"/>
        <w:jc w:val="both"/>
      </w:pPr>
      <w:r>
        <w:rPr>
          <w:sz w:val="24"/>
        </w:rPr>
        <w:t>1.乙方交付的货物、工程和提供的服务不符合本合同规定的，甲方有权拒收，并且乙方须向甲方支付本合同总价5%的违约金。</w:t>
      </w:r>
    </w:p>
    <w:p>
      <w:pPr>
        <w:ind w:firstLine="540"/>
        <w:jc w:val="both"/>
      </w:pPr>
      <w:r>
        <w:rPr>
          <w:sz w:val="24"/>
        </w:rPr>
        <w:t>2.乙方未能按本合同规定的交货时间交付货物或提供服务，从逾期之日起每日按本合同总价3‰的数额向甲方支付违约金；逾期半个月以上的，甲方有权终止合同，由此造成的甲方经济损失由乙方承担。</w:t>
      </w:r>
    </w:p>
    <w:p>
      <w:pPr>
        <w:ind w:firstLine="540"/>
        <w:jc w:val="both"/>
      </w:pPr>
      <w:r>
        <w:rPr>
          <w:sz w:val="24"/>
        </w:rPr>
        <w:t>3.甲方无正当理由拒收货物或拒接服务，到期拒付项目款项的，甲方向乙方偿付本合同总价的5%的违约金。</w:t>
      </w:r>
    </w:p>
    <w:p>
      <w:pPr>
        <w:ind w:firstLine="540"/>
        <w:jc w:val="both"/>
      </w:pPr>
      <w:r>
        <w:rPr>
          <w:sz w:val="24"/>
        </w:rPr>
        <w:t>4.其它违约责任按《中华人民共和国民法典(合同编)》处理。</w:t>
      </w:r>
    </w:p>
    <w:p>
      <w:pPr>
        <w:ind w:firstLine="542"/>
        <w:jc w:val="both"/>
      </w:pPr>
      <w:r>
        <w:rPr>
          <w:sz w:val="24"/>
        </w:rPr>
        <w:t xml:space="preserve">十二、争议的解决  </w:t>
      </w:r>
    </w:p>
    <w:p>
      <w:pPr>
        <w:ind w:firstLine="540"/>
        <w:jc w:val="both"/>
      </w:pPr>
      <w:r>
        <w:rPr>
          <w:sz w:val="24"/>
        </w:rPr>
        <w:t>因本合同而发生的争议，由甲、乙双方共同协商解决。协商不成的，依法向云浮市云城区人民法院提起诉讼。</w:t>
      </w:r>
    </w:p>
    <w:p>
      <w:pPr>
        <w:ind w:firstLine="542"/>
        <w:jc w:val="both"/>
      </w:pPr>
      <w:r>
        <w:rPr>
          <w:sz w:val="24"/>
        </w:rPr>
        <w:t>十三、不可抗力</w:t>
      </w:r>
    </w:p>
    <w:p>
      <w:pPr>
        <w:ind w:firstLine="540"/>
        <w:jc w:val="both"/>
      </w:pPr>
      <w:r>
        <w:rPr>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542"/>
        <w:jc w:val="both"/>
      </w:pPr>
      <w:r>
        <w:rPr>
          <w:sz w:val="24"/>
        </w:rPr>
        <w:t>十四、税费</w:t>
      </w:r>
    </w:p>
    <w:p>
      <w:pPr>
        <w:ind w:firstLine="540"/>
        <w:jc w:val="both"/>
      </w:pPr>
      <w:r>
        <w:rPr>
          <w:sz w:val="24"/>
        </w:rPr>
        <w:t>在中国境内、外发生的与本合同执行有关的一切税费均由乙方负担。</w:t>
      </w:r>
    </w:p>
    <w:p>
      <w:pPr>
        <w:ind w:firstLine="542"/>
        <w:jc w:val="both"/>
      </w:pPr>
      <w:r>
        <w:rPr>
          <w:sz w:val="24"/>
        </w:rPr>
        <w:t>十五、其它</w:t>
      </w:r>
    </w:p>
    <w:p>
      <w:pPr>
        <w:ind w:firstLine="540"/>
        <w:jc w:val="both"/>
      </w:pPr>
      <w:r>
        <w:rPr>
          <w:sz w:val="24"/>
        </w:rPr>
        <w:t>1.本合同所有附件、招标文件、响应文件、中标通知书均为合同的有效组成部分，与本合同具有同等法律效力。</w:t>
      </w:r>
    </w:p>
    <w:p>
      <w:pPr>
        <w:ind w:firstLine="540"/>
        <w:jc w:val="both"/>
      </w:pPr>
      <w:r>
        <w:rPr>
          <w:sz w:val="24"/>
        </w:rPr>
        <w:t>2.在执行本合同的过程中，所有经双方签署确认的文件（包括但不限于会议纪要、补充协议、往来信函）即成为本合同的有效组成部分。</w:t>
      </w:r>
    </w:p>
    <w:p>
      <w:pPr>
        <w:ind w:firstLine="540"/>
        <w:jc w:val="both"/>
      </w:pPr>
      <w:r>
        <w:rPr>
          <w:sz w:val="24"/>
        </w:rPr>
        <w:t>3.如一方地址、电话、传真号码有变更，应在变更当日内书面通知对方，否则，应承担相应责任。</w:t>
      </w:r>
    </w:p>
    <w:p>
      <w:pPr>
        <w:ind w:firstLine="540"/>
        <w:jc w:val="both"/>
      </w:pPr>
      <w:r>
        <w:rPr>
          <w:sz w:val="24"/>
        </w:rPr>
        <w:t>4.除甲方事先书面同意外，乙方不得部分或全部转让其应履行的合同项下的义务。</w:t>
      </w:r>
    </w:p>
    <w:p>
      <w:pPr>
        <w:ind w:firstLine="542"/>
        <w:jc w:val="both"/>
      </w:pPr>
      <w:r>
        <w:rPr>
          <w:sz w:val="24"/>
        </w:rPr>
        <w:t>十六、合同生效</w:t>
      </w:r>
    </w:p>
    <w:p>
      <w:pPr>
        <w:ind w:firstLine="540"/>
        <w:jc w:val="both"/>
      </w:pPr>
      <w:r>
        <w:rPr>
          <w:sz w:val="24"/>
        </w:rPr>
        <w:t>1.本合同在甲乙双方法人代表或其授权代表签字盖章后生效。</w:t>
      </w:r>
    </w:p>
    <w:p>
      <w:pPr>
        <w:ind w:firstLine="540"/>
        <w:jc w:val="both"/>
      </w:pPr>
      <w:r>
        <w:rPr>
          <w:sz w:val="24"/>
        </w:rPr>
        <w:t>2.合同一式陆份，甲方执伍份，乙方执壹份。</w:t>
      </w:r>
    </w:p>
    <w:p>
      <w:pPr>
        <w:jc w:val="both"/>
      </w:pPr>
    </w:p>
    <w:p>
      <w:pPr>
        <w:jc w:val="both"/>
      </w:pPr>
      <w:r>
        <w:rPr>
          <w:color w:val="222222"/>
          <w:sz w:val="27"/>
        </w:rPr>
        <w:t xml:space="preserve"> </w:t>
      </w:r>
    </w:p>
    <w:p>
      <w:pPr>
        <w:jc w:val="both"/>
      </w:pPr>
      <w:r>
        <w:rPr>
          <w:b/>
        </w:rPr>
        <w:t>甲方（盖章）：</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乙方（盖章）：</w:t>
      </w:r>
    </w:p>
    <w:p>
      <w:pPr>
        <w:jc w:val="both"/>
      </w:pPr>
      <w:r>
        <w:rPr>
          <w:b/>
        </w:rPr>
        <w:t>代表：</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代表：</w:t>
      </w:r>
    </w:p>
    <w:p>
      <w:pPr>
        <w:jc w:val="both"/>
      </w:pPr>
      <w:r>
        <w:rPr>
          <w:color w:val="222222"/>
          <w:sz w:val="27"/>
        </w:rPr>
        <w:t>签订地点：</w:t>
      </w:r>
    </w:p>
    <w:p>
      <w:pPr>
        <w:jc w:val="both"/>
      </w:pPr>
      <w:r>
        <w:rPr>
          <w:color w:val="222222"/>
          <w:sz w:val="27"/>
        </w:rPr>
        <w:t>签订日期：　　　年　　月　　日</w:t>
      </w:r>
      <w:r>
        <w:rPr>
          <w:color w:val="222222"/>
          <w:sz w:val="27"/>
        </w:rPr>
        <w:t xml:space="preserve"> </w:t>
      </w:r>
      <w:r>
        <w:rPr>
          <w:color w:val="222222"/>
          <w:sz w:val="27"/>
        </w:rPr>
        <w:t>签订日期：　　　年　　月　　日</w:t>
      </w:r>
    </w:p>
    <w:p>
      <w:pPr>
        <w:jc w:val="both"/>
      </w:pPr>
      <w:r>
        <w:rPr>
          <w:color w:val="222222"/>
          <w:sz w:val="27"/>
        </w:rPr>
        <w:t>开户名称：</w:t>
      </w:r>
    </w:p>
    <w:p>
      <w:pPr>
        <w:jc w:val="both"/>
      </w:pPr>
      <w:r>
        <w:rPr>
          <w:color w:val="222222"/>
          <w:sz w:val="27"/>
        </w:rPr>
        <w:t>银行帐号：</w:t>
      </w:r>
    </w:p>
    <w:p>
      <w:pPr>
        <w:jc w:val="both"/>
      </w:pPr>
      <w:r>
        <w:rPr>
          <w:color w:val="222222"/>
          <w:sz w:val="27"/>
        </w:rPr>
        <w:t>开 户 行：</w:t>
      </w: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445301-2023-00647</w:t>
      </w:r>
    </w:p>
    <w:p>
      <w:pPr>
        <w:jc w:val="center"/>
      </w:pPr>
      <w:r>
        <w:rPr>
          <w:b/>
          <w:sz w:val="24"/>
        </w:rPr>
        <w:t>采购项目编号：</w:t>
      </w:r>
      <w:r>
        <w:rPr>
          <w:b/>
          <w:sz w:val="24"/>
        </w:rPr>
        <w:t>445301-2023-00647</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云浮市国御招标代理有限公司</w:t>
      </w:r>
    </w:p>
    <w:p>
      <w:pPr>
        <w:ind w:firstLine="480"/>
      </w:pPr>
      <w:r>
        <w:rPr/>
        <w:t>你方组织的</w:t>
      </w:r>
      <w:r>
        <w:rPr>
          <w:u w:val="single"/>
        </w:rPr>
        <w:t>“</w:t>
      </w:r>
      <w:r>
        <w:rPr>
          <w:u w:val="single"/>
        </w:rPr>
        <w:t>云浮市政务服务大厅窗口统一办事呼叫、评价设备购买和运维（2023-2024年）项目</w:t>
      </w:r>
      <w:r>
        <w:rPr>
          <w:u w:val="single"/>
        </w:rPr>
        <w:t>”</w:t>
      </w:r>
      <w:r>
        <w:rPr/>
        <w:t>项目的竞争性磋商[采购项目编号为：</w:t>
      </w:r>
      <w:r>
        <w:rPr>
          <w:u w:val="single"/>
        </w:rPr>
        <w:t>445301-2023-00647</w:t>
      </w:r>
      <w:r>
        <w:rPr/>
        <w:t>]，我方愿参与响应。</w:t>
      </w:r>
    </w:p>
    <w:p>
      <w:pPr>
        <w:ind w:firstLine="480"/>
      </w:pPr>
      <w:r>
        <w:rPr/>
        <w:t>我方确认收到贵方提供的</w:t>
      </w:r>
      <w:r>
        <w:rPr>
          <w:u w:val="single"/>
        </w:rPr>
        <w:t>“</w:t>
      </w:r>
      <w:r>
        <w:rPr>
          <w:u w:val="single"/>
        </w:rPr>
        <w:t>云浮市政务服务大厅窗口统一办事呼叫、评价设备购买和运维（2023-2024年）项目</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（九）我方接受采购人委托向贵方支付代理服务费，项目总报价已包含代理服务费，如果被确定为成交供应商，承诺向贵方足额支付。（若采购人支付代理服务费，则此条不适用）</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云浮市国御招标代理有限公司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云浮市政务服务大厅窗口统一办事呼叫、评价设备购买和运维（2023-2024年）项目</w:t>
      </w:r>
      <w:r>
        <w:rPr/>
        <w:t>”项目采购[采购项目编号为</w:t>
      </w:r>
      <w:r>
        <w:rPr/>
        <w:t>445301-2023-00647</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云浮市人民政府行政服务中心</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云浮市国御招标代理有限公司</w:t>
      </w:r>
    </w:p>
    <w:p>
      <w:pPr>
        <w:ind w:firstLine="480"/>
      </w:pPr>
      <w:r>
        <w:rPr/>
        <w:t>我单位参加贵公司组织的</w:t>
      </w:r>
      <w:r>
        <w:rPr/>
        <w:t>云浮市政务服务大厅窗口统一办事呼叫、评价设备购买和运维（2023-2024年）项目</w:t>
      </w:r>
      <w:r>
        <w:rPr/>
        <w:t>（采购项目编号：</w:t>
      </w:r>
      <w:r>
        <w:rPr/>
        <w:t>445301-2023-00647</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云浮市国御招标代理有限公司</w:t>
      </w:r>
    </w:p>
    <w:p>
      <w:pPr>
        <w:ind w:firstLine="480"/>
      </w:pPr>
      <w:r>
        <w:rPr/>
        <w:t>我单位已登记并准备参与“</w:t>
      </w:r>
      <w:r>
        <w:rPr/>
        <w:t>云浮市政务服务大厅窗口统一办事呼叫、评价设备购买和运维（2023-2024年）项目</w:t>
      </w:r>
      <w:r>
        <w:rPr/>
        <w:t>”项目（采购项目编号：</w:t>
      </w:r>
      <w:r>
        <w:rPr/>
        <w:t>445301-2023-00647</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